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96B58" w14:textId="2B81E8FD" w:rsidR="00E11CC0" w:rsidRDefault="004B74FF" w:rsidP="00C6315F">
      <w:pPr>
        <w:pStyle w:val="Title"/>
        <w:jc w:val="center"/>
      </w:pPr>
      <w:bookmarkStart w:id="0" w:name="_GoBack"/>
      <w:bookmarkEnd w:id="0"/>
      <w:r>
        <w:t xml:space="preserve">DPO Cluster </w:t>
      </w:r>
      <w:r w:rsidRPr="00C6315F">
        <w:t>Quarterly</w:t>
      </w:r>
      <w:r>
        <w:t xml:space="preserve"> Newsletter</w:t>
      </w:r>
    </w:p>
    <w:p w14:paraId="032C53B2" w14:textId="23BC0241" w:rsidR="00C6315F" w:rsidRDefault="00D44389" w:rsidP="00D56630">
      <w:pPr>
        <w:pStyle w:val="Heading1"/>
        <w:jc w:val="center"/>
      </w:pPr>
      <w:r>
        <w:t>DECEMBER</w:t>
      </w:r>
      <w:r w:rsidR="00C6315F">
        <w:t xml:space="preserve"> – </w:t>
      </w:r>
      <w:r>
        <w:t>JANUARY</w:t>
      </w:r>
      <w:r w:rsidR="00C6315F">
        <w:t xml:space="preserve"> – </w:t>
      </w:r>
      <w:r>
        <w:t>FEBRUARY</w:t>
      </w:r>
      <w:r w:rsidR="00C6315F">
        <w:t xml:space="preserve"> 2018</w:t>
      </w:r>
      <w:r>
        <w:t xml:space="preserve"> / 19</w:t>
      </w:r>
    </w:p>
    <w:p w14:paraId="4C82D7CE" w14:textId="77777777" w:rsidR="00D56630" w:rsidRPr="00D56630" w:rsidRDefault="00D56630" w:rsidP="00D56630"/>
    <w:p w14:paraId="56939214" w14:textId="77777777" w:rsidR="00C6315F" w:rsidRPr="00C6315F" w:rsidRDefault="00C6315F" w:rsidP="00C6315F">
      <w:pPr>
        <w:pStyle w:val="Heading2"/>
        <w:rPr>
          <w:sz w:val="28"/>
          <w:szCs w:val="28"/>
        </w:rPr>
      </w:pPr>
      <w:r w:rsidRPr="00C6315F">
        <w:rPr>
          <w:sz w:val="28"/>
          <w:szCs w:val="28"/>
        </w:rPr>
        <w:t>What have we achieved</w:t>
      </w:r>
      <w:r>
        <w:rPr>
          <w:sz w:val="28"/>
          <w:szCs w:val="28"/>
        </w:rPr>
        <w:t xml:space="preserve"> so far</w:t>
      </w:r>
      <w:r w:rsidRPr="00C6315F">
        <w:rPr>
          <w:sz w:val="28"/>
          <w:szCs w:val="28"/>
        </w:rPr>
        <w:t>?</w:t>
      </w:r>
    </w:p>
    <w:p w14:paraId="7657EEDE" w14:textId="77777777" w:rsidR="00C6315F" w:rsidRPr="00C6315F" w:rsidRDefault="00C6315F" w:rsidP="00C6315F">
      <w:pPr>
        <w:rPr>
          <w:rFonts w:ascii="Arial Nova" w:hAnsi="Arial Nova"/>
          <w:sz w:val="24"/>
          <w:szCs w:val="24"/>
        </w:rPr>
      </w:pPr>
      <w:r w:rsidRPr="00C6315F">
        <w:rPr>
          <w:rFonts w:ascii="Arial Nova" w:hAnsi="Arial Nova"/>
          <w:sz w:val="24"/>
          <w:szCs w:val="24"/>
        </w:rPr>
        <w:t>As a cluster group, we have formed to allow joint working towards data protection assurance and to create a network of practices under a single Data Protection Officer.</w:t>
      </w:r>
    </w:p>
    <w:p w14:paraId="2673B72E" w14:textId="77777777" w:rsidR="00C6315F" w:rsidRPr="00C6315F" w:rsidRDefault="00C6315F" w:rsidP="00C6315F">
      <w:pPr>
        <w:rPr>
          <w:rFonts w:ascii="Arial Nova" w:hAnsi="Arial Nova"/>
          <w:sz w:val="24"/>
          <w:szCs w:val="24"/>
        </w:rPr>
      </w:pPr>
      <w:r w:rsidRPr="00C6315F">
        <w:rPr>
          <w:rFonts w:ascii="Arial Nova" w:hAnsi="Arial Nova"/>
          <w:sz w:val="24"/>
          <w:szCs w:val="24"/>
        </w:rPr>
        <w:t>So far, we have;</w:t>
      </w:r>
    </w:p>
    <w:p w14:paraId="4047355B" w14:textId="77777777" w:rsidR="00C6315F" w:rsidRPr="00E60C6F" w:rsidRDefault="00C6315F" w:rsidP="00E60C6F">
      <w:pPr>
        <w:pStyle w:val="ListParagraph"/>
        <w:numPr>
          <w:ilvl w:val="0"/>
          <w:numId w:val="1"/>
        </w:numPr>
        <w:rPr>
          <w:rFonts w:ascii="Arial Nova" w:hAnsi="Arial Nova"/>
          <w:sz w:val="24"/>
          <w:szCs w:val="24"/>
        </w:rPr>
      </w:pPr>
      <w:r w:rsidRPr="00EC60BF">
        <w:rPr>
          <w:rFonts w:ascii="Arial Nova" w:hAnsi="Arial Nova"/>
          <w:color w:val="4472C4" w:themeColor="accent1"/>
          <w:sz w:val="28"/>
          <w:szCs w:val="28"/>
        </w:rPr>
        <w:t>Created a Processing Activities Log</w:t>
      </w:r>
      <w:r w:rsidRPr="00EC60BF">
        <w:rPr>
          <w:rFonts w:ascii="Arial Nova" w:hAnsi="Arial Nova"/>
          <w:color w:val="4472C4" w:themeColor="accent1"/>
          <w:sz w:val="24"/>
          <w:szCs w:val="24"/>
        </w:rPr>
        <w:t xml:space="preserve"> </w:t>
      </w:r>
      <w:r>
        <w:rPr>
          <w:noProof/>
          <w:sz w:val="24"/>
          <w:szCs w:val="24"/>
          <w:lang w:eastAsia="en-GB"/>
        </w:rPr>
        <w:drawing>
          <wp:inline distT="0" distB="0" distL="0" distR="0" wp14:anchorId="6F1C36E3" wp14:editId="28728C1E">
            <wp:extent cx="219075" cy="2507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liponious-green-ti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606" cy="255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92E925" w14:textId="77777777" w:rsidR="00C6315F" w:rsidRPr="00E60C6F" w:rsidRDefault="00E60C6F" w:rsidP="00E60C6F">
      <w:pPr>
        <w:pStyle w:val="ListParagraph"/>
        <w:numPr>
          <w:ilvl w:val="0"/>
          <w:numId w:val="1"/>
        </w:numPr>
        <w:rPr>
          <w:rFonts w:ascii="Arial Nova" w:hAnsi="Arial Nova"/>
          <w:sz w:val="28"/>
          <w:szCs w:val="28"/>
        </w:rPr>
      </w:pPr>
      <w:r w:rsidRPr="00C44ABA">
        <w:rPr>
          <w:rFonts w:ascii="Arial Nova" w:hAnsi="Arial Nova"/>
          <w:color w:val="4472C4" w:themeColor="accent1"/>
          <w:sz w:val="28"/>
          <w:szCs w:val="28"/>
        </w:rPr>
        <w:t xml:space="preserve">Developed a deeper level of transparency for data subjects </w:t>
      </w:r>
      <w:r>
        <w:rPr>
          <w:noProof/>
          <w:sz w:val="24"/>
          <w:szCs w:val="24"/>
          <w:lang w:eastAsia="en-GB"/>
        </w:rPr>
        <w:drawing>
          <wp:inline distT="0" distB="0" distL="0" distR="0" wp14:anchorId="4D7612DF" wp14:editId="45BEC2CA">
            <wp:extent cx="219075" cy="25073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liponious-green-ti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606" cy="255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A47D35" w14:textId="17983F29" w:rsidR="00E60C6F" w:rsidRPr="008C5066" w:rsidRDefault="00E60C6F" w:rsidP="00E60C6F">
      <w:pPr>
        <w:pStyle w:val="ListParagraph"/>
        <w:numPr>
          <w:ilvl w:val="0"/>
          <w:numId w:val="1"/>
        </w:numPr>
        <w:rPr>
          <w:rFonts w:ascii="Arial Nova" w:hAnsi="Arial Nova"/>
          <w:sz w:val="28"/>
          <w:szCs w:val="28"/>
        </w:rPr>
      </w:pPr>
      <w:r w:rsidRPr="00C44ABA">
        <w:rPr>
          <w:rFonts w:ascii="Arial Nova" w:hAnsi="Arial Nova"/>
          <w:color w:val="4472C4" w:themeColor="accent1"/>
          <w:sz w:val="28"/>
          <w:szCs w:val="28"/>
        </w:rPr>
        <w:t xml:space="preserve">Developed Protocols </w:t>
      </w:r>
      <w:r w:rsidR="00F434D6">
        <w:rPr>
          <w:rFonts w:ascii="Arial Nova" w:hAnsi="Arial Nova"/>
          <w:color w:val="4472C4" w:themeColor="accent1"/>
          <w:sz w:val="28"/>
          <w:szCs w:val="28"/>
        </w:rPr>
        <w:t>to support data protection compliance</w:t>
      </w:r>
      <w:r w:rsidRPr="00C44ABA">
        <w:rPr>
          <w:rFonts w:ascii="Arial Nova" w:hAnsi="Arial Nova"/>
          <w:color w:val="4472C4" w:themeColor="accent1"/>
          <w:sz w:val="28"/>
          <w:szCs w:val="28"/>
        </w:rPr>
        <w:t xml:space="preserve"> </w:t>
      </w:r>
      <w:r>
        <w:rPr>
          <w:noProof/>
          <w:sz w:val="24"/>
          <w:szCs w:val="24"/>
          <w:lang w:eastAsia="en-GB"/>
        </w:rPr>
        <w:drawing>
          <wp:inline distT="0" distB="0" distL="0" distR="0" wp14:anchorId="42D88AC3" wp14:editId="08504012">
            <wp:extent cx="219075" cy="25073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liponious-green-ti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606" cy="255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BBCD47" w14:textId="7EAF3341" w:rsidR="008C5066" w:rsidRPr="00D44389" w:rsidRDefault="008C5066" w:rsidP="00E60C6F">
      <w:pPr>
        <w:pStyle w:val="ListParagraph"/>
        <w:numPr>
          <w:ilvl w:val="0"/>
          <w:numId w:val="1"/>
        </w:num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color w:val="4472C4" w:themeColor="accent1"/>
          <w:sz w:val="28"/>
          <w:szCs w:val="28"/>
        </w:rPr>
        <w:t xml:space="preserve">Developed a cluster-wide approach to clinical system audit </w:t>
      </w:r>
      <w:r>
        <w:rPr>
          <w:noProof/>
          <w:sz w:val="24"/>
          <w:szCs w:val="24"/>
          <w:lang w:eastAsia="en-GB"/>
        </w:rPr>
        <w:drawing>
          <wp:inline distT="0" distB="0" distL="0" distR="0" wp14:anchorId="62CE1DD5" wp14:editId="185B4FDE">
            <wp:extent cx="219075" cy="25073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liponious-green-ti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606" cy="255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4E34EF" w14:textId="5A08F744" w:rsidR="00D44389" w:rsidRPr="00D44389" w:rsidRDefault="00D44389" w:rsidP="00E60C6F">
      <w:pPr>
        <w:pStyle w:val="ListParagraph"/>
        <w:numPr>
          <w:ilvl w:val="0"/>
          <w:numId w:val="1"/>
        </w:num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color w:val="4472C4" w:themeColor="accent1"/>
          <w:sz w:val="28"/>
          <w:szCs w:val="28"/>
        </w:rPr>
        <w:t>Undertaken Data Protection Impact Assessments for sharing initiatives</w:t>
      </w:r>
      <w:r>
        <w:rPr>
          <w:noProof/>
          <w:sz w:val="24"/>
          <w:szCs w:val="24"/>
          <w:lang w:eastAsia="en-GB"/>
        </w:rPr>
        <w:drawing>
          <wp:inline distT="0" distB="0" distL="0" distR="0" wp14:anchorId="2502CD30" wp14:editId="778669F9">
            <wp:extent cx="219075" cy="25073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liponious-green-ti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606" cy="255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59CD6" w14:textId="0CC29951" w:rsidR="00D44389" w:rsidRPr="00D44389" w:rsidRDefault="00D44389" w:rsidP="00E60C6F">
      <w:pPr>
        <w:pStyle w:val="ListParagraph"/>
        <w:numPr>
          <w:ilvl w:val="0"/>
          <w:numId w:val="1"/>
        </w:num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color w:val="4472C4" w:themeColor="accent1"/>
          <w:sz w:val="28"/>
          <w:szCs w:val="28"/>
        </w:rPr>
        <w:t>Created a master log of all sharing partners across the county</w:t>
      </w:r>
      <w:r>
        <w:rPr>
          <w:noProof/>
          <w:sz w:val="24"/>
          <w:szCs w:val="24"/>
          <w:lang w:eastAsia="en-GB"/>
        </w:rPr>
        <w:drawing>
          <wp:inline distT="0" distB="0" distL="0" distR="0" wp14:anchorId="20806ED3" wp14:editId="7A28698B">
            <wp:extent cx="219075" cy="250731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liponious-green-ti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606" cy="255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B07D28" w14:textId="180B31C4" w:rsidR="00D44389" w:rsidRPr="00D44389" w:rsidRDefault="00D44389" w:rsidP="00E60C6F">
      <w:pPr>
        <w:pStyle w:val="ListParagraph"/>
        <w:numPr>
          <w:ilvl w:val="0"/>
          <w:numId w:val="1"/>
        </w:num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color w:val="4472C4" w:themeColor="accent1"/>
          <w:sz w:val="28"/>
          <w:szCs w:val="28"/>
        </w:rPr>
        <w:t>Undertaken a Data Security Compliance Audit</w:t>
      </w:r>
      <w:r>
        <w:rPr>
          <w:noProof/>
          <w:sz w:val="24"/>
          <w:szCs w:val="24"/>
          <w:lang w:eastAsia="en-GB"/>
        </w:rPr>
        <w:drawing>
          <wp:inline distT="0" distB="0" distL="0" distR="0" wp14:anchorId="0080DCE9" wp14:editId="6AA78CAA">
            <wp:extent cx="219075" cy="25073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liponious-green-ti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606" cy="255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AAAFEA" w14:textId="6F7726C0" w:rsidR="00D44389" w:rsidRPr="008C5066" w:rsidRDefault="00D44389" w:rsidP="00E60C6F">
      <w:pPr>
        <w:pStyle w:val="ListParagraph"/>
        <w:numPr>
          <w:ilvl w:val="0"/>
          <w:numId w:val="1"/>
        </w:num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color w:val="4472C4" w:themeColor="accent1"/>
          <w:sz w:val="28"/>
          <w:szCs w:val="28"/>
        </w:rPr>
        <w:t>Raised awareness of Subject Access Requests through Webinars</w:t>
      </w:r>
      <w:r>
        <w:rPr>
          <w:noProof/>
          <w:sz w:val="24"/>
          <w:szCs w:val="24"/>
          <w:lang w:eastAsia="en-GB"/>
        </w:rPr>
        <w:drawing>
          <wp:inline distT="0" distB="0" distL="0" distR="0" wp14:anchorId="49168F15" wp14:editId="017BF1DF">
            <wp:extent cx="219075" cy="250731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liponious-green-ti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606" cy="255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A0B717" w14:textId="77777777" w:rsidR="008C5066" w:rsidRPr="00E60C6F" w:rsidRDefault="008C5066" w:rsidP="00A26DE0">
      <w:pPr>
        <w:pStyle w:val="ListParagraph"/>
        <w:ind w:left="360"/>
        <w:rPr>
          <w:rFonts w:ascii="Arial Nova" w:hAnsi="Arial Nova"/>
          <w:sz w:val="28"/>
          <w:szCs w:val="28"/>
        </w:rPr>
      </w:pPr>
    </w:p>
    <w:p w14:paraId="619507E7" w14:textId="2EA78854" w:rsidR="00C6315F" w:rsidRPr="00EC60BF" w:rsidRDefault="00C6315F" w:rsidP="00C6315F">
      <w:pPr>
        <w:pStyle w:val="Heading2"/>
        <w:rPr>
          <w:sz w:val="28"/>
          <w:szCs w:val="28"/>
        </w:rPr>
      </w:pPr>
      <w:r w:rsidRPr="00EC60BF">
        <w:rPr>
          <w:sz w:val="28"/>
          <w:szCs w:val="28"/>
        </w:rPr>
        <w:t xml:space="preserve">What </w:t>
      </w:r>
      <w:r w:rsidR="00EC60BF">
        <w:rPr>
          <w:sz w:val="28"/>
          <w:szCs w:val="28"/>
        </w:rPr>
        <w:t>was covered</w:t>
      </w:r>
      <w:r w:rsidRPr="00EC60BF">
        <w:rPr>
          <w:sz w:val="28"/>
          <w:szCs w:val="28"/>
        </w:rPr>
        <w:t xml:space="preserve"> at the latest cluster event?</w:t>
      </w:r>
    </w:p>
    <w:p w14:paraId="00020FC3" w14:textId="10B439CA" w:rsidR="00EC60BF" w:rsidRPr="00EC60BF" w:rsidRDefault="007436F4" w:rsidP="00EC60BF">
      <w:pPr>
        <w:rPr>
          <w:rFonts w:ascii="Arial Nova" w:hAnsi="Arial Nova"/>
          <w:color w:val="4472C4" w:themeColor="accent1"/>
          <w:sz w:val="28"/>
          <w:szCs w:val="28"/>
        </w:rPr>
      </w:pPr>
      <w:r>
        <w:rPr>
          <w:rFonts w:ascii="Arial Nova" w:hAnsi="Arial Nova"/>
          <w:color w:val="4472C4" w:themeColor="accent1"/>
          <w:sz w:val="28"/>
          <w:szCs w:val="28"/>
        </w:rPr>
        <w:t>Subject Access Requests</w:t>
      </w:r>
    </w:p>
    <w:p w14:paraId="7E1D9AE4" w14:textId="79F3BC58" w:rsidR="00FB7E9E" w:rsidRDefault="007436F4" w:rsidP="00FB7E9E">
      <w:pPr>
        <w:pStyle w:val="ListParagraph"/>
        <w:numPr>
          <w:ilvl w:val="0"/>
          <w:numId w:val="4"/>
        </w:numPr>
        <w:spacing w:line="360" w:lineRule="auto"/>
        <w:rPr>
          <w:rFonts w:ascii="Arial Nova" w:hAnsi="Arial Nova"/>
          <w:sz w:val="22"/>
          <w:szCs w:val="22"/>
        </w:rPr>
      </w:pPr>
      <w:r>
        <w:rPr>
          <w:rFonts w:ascii="Arial Nova" w:hAnsi="Arial Nova"/>
          <w:sz w:val="22"/>
          <w:szCs w:val="22"/>
        </w:rPr>
        <w:t>An</w:t>
      </w:r>
      <w:r w:rsidR="00D44389">
        <w:rPr>
          <w:rFonts w:ascii="Arial Nova" w:hAnsi="Arial Nova"/>
          <w:sz w:val="22"/>
          <w:szCs w:val="22"/>
        </w:rPr>
        <w:t xml:space="preserve"> up to date</w:t>
      </w:r>
      <w:r>
        <w:rPr>
          <w:rFonts w:ascii="Arial Nova" w:hAnsi="Arial Nova"/>
          <w:sz w:val="22"/>
          <w:szCs w:val="22"/>
        </w:rPr>
        <w:t xml:space="preserve"> SAR protocol has been provided </w:t>
      </w:r>
      <w:r w:rsidR="00D44389">
        <w:rPr>
          <w:rFonts w:ascii="Arial Nova" w:hAnsi="Arial Nova"/>
          <w:sz w:val="22"/>
          <w:szCs w:val="22"/>
        </w:rPr>
        <w:t xml:space="preserve">to support this activity </w:t>
      </w:r>
      <w:hyperlink r:id="rId8" w:history="1">
        <w:r w:rsidR="00D44389">
          <w:rPr>
            <w:rStyle w:val="Hyperlink"/>
            <w:rFonts w:ascii="Arial Nova" w:hAnsi="Arial Nova"/>
            <w:sz w:val="22"/>
            <w:szCs w:val="22"/>
          </w:rPr>
          <w:t>HERE</w:t>
        </w:r>
      </w:hyperlink>
    </w:p>
    <w:p w14:paraId="6C1DB3D4" w14:textId="45982660" w:rsidR="00EC60BF" w:rsidRPr="00157017" w:rsidRDefault="00D44389" w:rsidP="00157017">
      <w:pPr>
        <w:pStyle w:val="ListParagraph"/>
        <w:numPr>
          <w:ilvl w:val="0"/>
          <w:numId w:val="4"/>
        </w:numPr>
        <w:spacing w:line="360" w:lineRule="auto"/>
        <w:rPr>
          <w:rFonts w:ascii="Arial Nova" w:hAnsi="Arial Nova"/>
          <w:sz w:val="22"/>
          <w:szCs w:val="22"/>
        </w:rPr>
      </w:pPr>
      <w:proofErr w:type="spellStart"/>
      <w:r>
        <w:rPr>
          <w:rFonts w:ascii="Arial Nova" w:hAnsi="Arial Nova"/>
          <w:sz w:val="22"/>
          <w:szCs w:val="22"/>
        </w:rPr>
        <w:t>iGPR</w:t>
      </w:r>
      <w:proofErr w:type="spellEnd"/>
      <w:r>
        <w:rPr>
          <w:rFonts w:ascii="Arial Nova" w:hAnsi="Arial Nova"/>
          <w:sz w:val="22"/>
          <w:szCs w:val="22"/>
        </w:rPr>
        <w:t xml:space="preserve"> presented a free auto-redaction software available to practices</w:t>
      </w:r>
    </w:p>
    <w:p w14:paraId="5AEA54AB" w14:textId="42DDC2BF" w:rsidR="00EC60BF" w:rsidRDefault="001B26ED" w:rsidP="00157017">
      <w:pPr>
        <w:pStyle w:val="ListParagraph"/>
        <w:numPr>
          <w:ilvl w:val="0"/>
          <w:numId w:val="4"/>
        </w:numPr>
        <w:spacing w:line="360" w:lineRule="auto"/>
        <w:rPr>
          <w:rFonts w:ascii="Arial Nova" w:hAnsi="Arial Nova"/>
          <w:sz w:val="22"/>
          <w:szCs w:val="22"/>
        </w:rPr>
      </w:pPr>
      <w:r>
        <w:rPr>
          <w:rFonts w:ascii="Arial Nova" w:hAnsi="Arial Nova"/>
          <w:sz w:val="22"/>
          <w:szCs w:val="22"/>
        </w:rPr>
        <w:t>A SAR Web</w:t>
      </w:r>
      <w:r w:rsidR="00573558">
        <w:rPr>
          <w:rFonts w:ascii="Arial Nova" w:hAnsi="Arial Nova"/>
          <w:sz w:val="22"/>
          <w:szCs w:val="22"/>
        </w:rPr>
        <w:t>inar</w:t>
      </w:r>
      <w:r>
        <w:rPr>
          <w:rFonts w:ascii="Arial Nova" w:hAnsi="Arial Nova"/>
          <w:sz w:val="22"/>
          <w:szCs w:val="22"/>
        </w:rPr>
        <w:t xml:space="preserve"> </w:t>
      </w:r>
      <w:r w:rsidR="00D44389">
        <w:rPr>
          <w:rFonts w:ascii="Arial Nova" w:hAnsi="Arial Nova"/>
          <w:sz w:val="22"/>
          <w:szCs w:val="22"/>
        </w:rPr>
        <w:t xml:space="preserve">has been delivered </w:t>
      </w:r>
      <w:r>
        <w:rPr>
          <w:rFonts w:ascii="Arial Nova" w:hAnsi="Arial Nova"/>
          <w:sz w:val="22"/>
          <w:szCs w:val="22"/>
        </w:rPr>
        <w:t>for all practice staff to support the process</w:t>
      </w:r>
      <w:r w:rsidR="00BE43A2">
        <w:rPr>
          <w:rFonts w:ascii="Arial Nova" w:hAnsi="Arial Nova"/>
          <w:sz w:val="22"/>
          <w:szCs w:val="22"/>
        </w:rPr>
        <w:t xml:space="preserve"> – recording available </w:t>
      </w:r>
      <w:hyperlink r:id="rId9" w:history="1">
        <w:r w:rsidR="00BE43A2">
          <w:rPr>
            <w:rStyle w:val="Hyperlink"/>
            <w:rFonts w:ascii="Arial Nova" w:hAnsi="Arial Nova"/>
            <w:sz w:val="22"/>
            <w:szCs w:val="22"/>
          </w:rPr>
          <w:t>HERE</w:t>
        </w:r>
      </w:hyperlink>
      <w:r w:rsidR="00BE43A2">
        <w:rPr>
          <w:rFonts w:ascii="Arial Nova" w:hAnsi="Arial Nova"/>
          <w:sz w:val="22"/>
          <w:szCs w:val="22"/>
        </w:rPr>
        <w:t xml:space="preserve"> </w:t>
      </w:r>
    </w:p>
    <w:p w14:paraId="18297B52" w14:textId="184E3FEB" w:rsidR="00151EDF" w:rsidRPr="00157017" w:rsidRDefault="00151EDF" w:rsidP="00157017">
      <w:pPr>
        <w:pStyle w:val="ListParagraph"/>
        <w:numPr>
          <w:ilvl w:val="0"/>
          <w:numId w:val="4"/>
        </w:numPr>
        <w:spacing w:line="360" w:lineRule="auto"/>
        <w:rPr>
          <w:rFonts w:ascii="Arial Nova" w:hAnsi="Arial Nova"/>
          <w:sz w:val="22"/>
          <w:szCs w:val="22"/>
        </w:rPr>
      </w:pPr>
      <w:r>
        <w:rPr>
          <w:rFonts w:ascii="Arial Nova" w:hAnsi="Arial Nova"/>
          <w:sz w:val="22"/>
          <w:szCs w:val="22"/>
        </w:rPr>
        <w:lastRenderedPageBreak/>
        <w:t>Practices are advised to reduce letter</w:t>
      </w:r>
      <w:r w:rsidR="00573558">
        <w:rPr>
          <w:rFonts w:ascii="Arial Nova" w:hAnsi="Arial Nova"/>
          <w:sz w:val="22"/>
          <w:szCs w:val="22"/>
        </w:rPr>
        <w:t>-</w:t>
      </w:r>
      <w:r>
        <w:rPr>
          <w:rFonts w:ascii="Arial Nova" w:hAnsi="Arial Nova"/>
          <w:sz w:val="22"/>
          <w:szCs w:val="22"/>
        </w:rPr>
        <w:t xml:space="preserve">sending and aim to send emails where possible – more secure </w:t>
      </w:r>
      <w:r w:rsidR="00C13C6A">
        <w:rPr>
          <w:rFonts w:ascii="Arial Nova" w:hAnsi="Arial Nova"/>
          <w:sz w:val="22"/>
          <w:szCs w:val="22"/>
        </w:rPr>
        <w:t xml:space="preserve">and prompt </w:t>
      </w:r>
      <w:r>
        <w:rPr>
          <w:rFonts w:ascii="Arial Nova" w:hAnsi="Arial Nova"/>
          <w:sz w:val="22"/>
          <w:szCs w:val="22"/>
        </w:rPr>
        <w:t>route</w:t>
      </w:r>
    </w:p>
    <w:p w14:paraId="7F569F72" w14:textId="7169372D" w:rsidR="00EC60BF" w:rsidRDefault="003109CE" w:rsidP="00EC60BF">
      <w:pPr>
        <w:rPr>
          <w:rFonts w:ascii="Arial Nova" w:hAnsi="Arial Nova"/>
          <w:color w:val="4472C4" w:themeColor="accent1"/>
          <w:sz w:val="28"/>
          <w:szCs w:val="28"/>
        </w:rPr>
      </w:pPr>
      <w:r>
        <w:rPr>
          <w:rFonts w:ascii="Arial Nova" w:hAnsi="Arial Nova"/>
          <w:color w:val="4472C4" w:themeColor="accent1"/>
          <w:sz w:val="28"/>
          <w:szCs w:val="28"/>
        </w:rPr>
        <w:t>Information Risk Management</w:t>
      </w:r>
    </w:p>
    <w:p w14:paraId="37DA39DA" w14:textId="307F187C" w:rsidR="00EC60BF" w:rsidRPr="00157017" w:rsidRDefault="00D44389" w:rsidP="00157017">
      <w:pPr>
        <w:pStyle w:val="ListParagraph"/>
        <w:numPr>
          <w:ilvl w:val="0"/>
          <w:numId w:val="6"/>
        </w:numPr>
        <w:spacing w:line="360" w:lineRule="auto"/>
        <w:rPr>
          <w:rFonts w:ascii="Arial Nova" w:hAnsi="Arial Nova"/>
          <w:sz w:val="22"/>
          <w:szCs w:val="22"/>
        </w:rPr>
      </w:pPr>
      <w:r>
        <w:rPr>
          <w:rFonts w:ascii="Arial Nova" w:hAnsi="Arial Nova"/>
          <w:sz w:val="22"/>
          <w:szCs w:val="22"/>
        </w:rPr>
        <w:t xml:space="preserve">We have identified the processing activities that result in a </w:t>
      </w:r>
      <w:r w:rsidRPr="00D44389">
        <w:rPr>
          <w:rFonts w:ascii="Arial Nova" w:hAnsi="Arial Nova"/>
          <w:b/>
          <w:sz w:val="22"/>
          <w:szCs w:val="22"/>
        </w:rPr>
        <w:t>higher risk</w:t>
      </w:r>
      <w:r>
        <w:rPr>
          <w:rFonts w:ascii="Arial Nova" w:hAnsi="Arial Nova"/>
          <w:sz w:val="22"/>
          <w:szCs w:val="22"/>
        </w:rPr>
        <w:t xml:space="preserve"> to the rights and freedoms of data subjects</w:t>
      </w:r>
    </w:p>
    <w:p w14:paraId="49EA2401" w14:textId="0C7C1F77" w:rsidR="00EC60BF" w:rsidRPr="00157017" w:rsidRDefault="003109CE" w:rsidP="00157017">
      <w:pPr>
        <w:pStyle w:val="ListParagraph"/>
        <w:numPr>
          <w:ilvl w:val="0"/>
          <w:numId w:val="6"/>
        </w:numPr>
        <w:spacing w:line="360" w:lineRule="auto"/>
        <w:rPr>
          <w:rFonts w:ascii="Arial Nova" w:hAnsi="Arial Nova"/>
          <w:sz w:val="22"/>
          <w:szCs w:val="22"/>
        </w:rPr>
      </w:pPr>
      <w:r>
        <w:rPr>
          <w:rFonts w:ascii="Arial Nova" w:hAnsi="Arial Nova"/>
          <w:sz w:val="22"/>
          <w:szCs w:val="22"/>
        </w:rPr>
        <w:t>You should highlight th</w:t>
      </w:r>
      <w:r w:rsidR="00D44389">
        <w:rPr>
          <w:rFonts w:ascii="Arial Nova" w:hAnsi="Arial Nova"/>
          <w:sz w:val="22"/>
          <w:szCs w:val="22"/>
        </w:rPr>
        <w:t>e</w:t>
      </w:r>
      <w:r>
        <w:rPr>
          <w:rFonts w:ascii="Arial Nova" w:hAnsi="Arial Nova"/>
          <w:sz w:val="22"/>
          <w:szCs w:val="22"/>
        </w:rPr>
        <w:t>s</w:t>
      </w:r>
      <w:r w:rsidR="00D44389">
        <w:rPr>
          <w:rFonts w:ascii="Arial Nova" w:hAnsi="Arial Nova"/>
          <w:sz w:val="22"/>
          <w:szCs w:val="22"/>
        </w:rPr>
        <w:t>e</w:t>
      </w:r>
      <w:r>
        <w:rPr>
          <w:rFonts w:ascii="Arial Nova" w:hAnsi="Arial Nova"/>
          <w:sz w:val="22"/>
          <w:szCs w:val="22"/>
        </w:rPr>
        <w:t xml:space="preserve"> </w:t>
      </w:r>
      <w:r w:rsidR="00D44389">
        <w:rPr>
          <w:rFonts w:ascii="Arial Nova" w:hAnsi="Arial Nova"/>
          <w:sz w:val="22"/>
          <w:szCs w:val="22"/>
        </w:rPr>
        <w:t>t</w:t>
      </w:r>
      <w:r>
        <w:rPr>
          <w:rFonts w:ascii="Arial Nova" w:hAnsi="Arial Nova"/>
          <w:sz w:val="22"/>
          <w:szCs w:val="22"/>
        </w:rPr>
        <w:t>o your practice SIRO</w:t>
      </w:r>
      <w:r w:rsidR="00D44389">
        <w:rPr>
          <w:rFonts w:ascii="Arial Nova" w:hAnsi="Arial Nova"/>
          <w:sz w:val="22"/>
          <w:szCs w:val="22"/>
        </w:rPr>
        <w:t xml:space="preserve"> and ensure that you have taken the identified actions</w:t>
      </w:r>
    </w:p>
    <w:tbl>
      <w:tblPr>
        <w:tblW w:w="5031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4961"/>
      </w:tblGrid>
      <w:tr w:rsidR="00D44389" w:rsidRPr="003109CE" w14:paraId="289B7AAC" w14:textId="77777777" w:rsidTr="00CD52A8">
        <w:trPr>
          <w:trHeight w:val="525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7D13431" w14:textId="77777777" w:rsidR="00D44389" w:rsidRPr="003109CE" w:rsidRDefault="00D44389" w:rsidP="003109C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9CE">
              <w:rPr>
                <w:rFonts w:ascii="Calibri" w:eastAsia="Times New Roman" w:hAnsi="Calibri" w:cs="Calibri"/>
                <w:color w:val="000000"/>
                <w:lang w:eastAsia="en-GB"/>
              </w:rPr>
              <w:t>Risk</w:t>
            </w:r>
          </w:p>
        </w:tc>
        <w:tc>
          <w:tcPr>
            <w:tcW w:w="2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FCBF618" w14:textId="10CFC03F" w:rsidR="00D44389" w:rsidRPr="003109CE" w:rsidRDefault="00D44389" w:rsidP="003109C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9CE">
              <w:rPr>
                <w:rFonts w:ascii="Calibri" w:eastAsia="Times New Roman" w:hAnsi="Calibri" w:cs="Calibri"/>
                <w:color w:val="000000"/>
                <w:lang w:eastAsia="en-GB"/>
              </w:rPr>
              <w:t>Action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</w:p>
        </w:tc>
      </w:tr>
      <w:tr w:rsidR="00D44389" w:rsidRPr="003109CE" w14:paraId="4D7023FA" w14:textId="77777777" w:rsidTr="00CD52A8">
        <w:trPr>
          <w:trHeight w:val="885"/>
        </w:trPr>
        <w:tc>
          <w:tcPr>
            <w:tcW w:w="22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DE270" w14:textId="140AAC0A" w:rsidR="00D44389" w:rsidRPr="003109CE" w:rsidRDefault="00D44389" w:rsidP="00D44389">
            <w:pPr>
              <w:spacing w:before="0"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>
              <w:rPr>
                <w:rFonts w:ascii="Arial Nova" w:hAnsi="Arial Nova" w:cs="Calibri"/>
                <w:color w:val="000000"/>
              </w:rPr>
              <w:t>CONFIDENTIAL WASTE DESTRUCTION</w:t>
            </w:r>
          </w:p>
        </w:tc>
        <w:tc>
          <w:tcPr>
            <w:tcW w:w="2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643DB" w14:textId="77777777" w:rsidR="00D44389" w:rsidRDefault="00D44389" w:rsidP="00D44389">
            <w:pPr>
              <w:spacing w:before="0"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>
              <w:rPr>
                <w:rFonts w:ascii="Arial Nova" w:eastAsia="Times New Roman" w:hAnsi="Arial Nova" w:cs="Calibri"/>
                <w:color w:val="000000"/>
                <w:lang w:eastAsia="en-GB"/>
              </w:rPr>
              <w:t>Our practice has identified this as a high-risk activity to the DPO.</w:t>
            </w:r>
          </w:p>
          <w:p w14:paraId="62A4C73D" w14:textId="421BE080" w:rsidR="00D44389" w:rsidRPr="003109CE" w:rsidRDefault="00D44389" w:rsidP="00D44389">
            <w:pPr>
              <w:spacing w:before="0"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</w:tr>
      <w:tr w:rsidR="00D44389" w:rsidRPr="003109CE" w14:paraId="6B28F8D7" w14:textId="77777777" w:rsidTr="00CD52A8">
        <w:trPr>
          <w:trHeight w:val="885"/>
        </w:trPr>
        <w:tc>
          <w:tcPr>
            <w:tcW w:w="22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BEFEA" w14:textId="77777777" w:rsidR="00D44389" w:rsidRDefault="00D44389" w:rsidP="00D44389">
            <w:pPr>
              <w:spacing w:before="0" w:after="0" w:line="240" w:lineRule="auto"/>
              <w:rPr>
                <w:rFonts w:ascii="Arial Nova" w:hAnsi="Arial Nova" w:cs="Calibri"/>
                <w:color w:val="000000"/>
              </w:rPr>
            </w:pPr>
          </w:p>
        </w:tc>
        <w:tc>
          <w:tcPr>
            <w:tcW w:w="2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FB5E7" w14:textId="38F3BE0E" w:rsidR="00D44389" w:rsidRDefault="00D44389" w:rsidP="00D44389">
            <w:pPr>
              <w:spacing w:before="0"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>
              <w:rPr>
                <w:rFonts w:ascii="Arial Nova" w:eastAsia="Times New Roman" w:hAnsi="Arial Nova" w:cs="Calibri"/>
                <w:color w:val="000000"/>
                <w:lang w:eastAsia="en-GB"/>
              </w:rPr>
              <w:t xml:space="preserve">The contract we have in place with our provider has been notified to the DPO for review </w:t>
            </w:r>
          </w:p>
        </w:tc>
      </w:tr>
      <w:tr w:rsidR="00D44389" w:rsidRPr="003109CE" w14:paraId="695F25D8" w14:textId="77777777" w:rsidTr="00CD52A8">
        <w:trPr>
          <w:trHeight w:val="885"/>
        </w:trPr>
        <w:tc>
          <w:tcPr>
            <w:tcW w:w="22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F4359" w14:textId="77777777" w:rsidR="00D44389" w:rsidRDefault="00D44389" w:rsidP="00D44389">
            <w:pPr>
              <w:spacing w:before="0" w:after="0" w:line="240" w:lineRule="auto"/>
              <w:rPr>
                <w:rFonts w:ascii="Arial Nova" w:hAnsi="Arial Nova" w:cs="Calibri"/>
                <w:color w:val="000000"/>
              </w:rPr>
            </w:pPr>
          </w:p>
        </w:tc>
        <w:tc>
          <w:tcPr>
            <w:tcW w:w="2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76EE6" w14:textId="4280753A" w:rsidR="00D44389" w:rsidRDefault="00D44389" w:rsidP="00D44389">
            <w:pPr>
              <w:spacing w:before="0"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>
              <w:rPr>
                <w:rFonts w:ascii="Arial Nova" w:eastAsia="Times New Roman" w:hAnsi="Arial Nova" w:cs="Calibri"/>
                <w:color w:val="000000"/>
                <w:lang w:eastAsia="en-GB"/>
              </w:rPr>
              <w:t>We retain all certificates of destruction provided by our confidential waste provider</w:t>
            </w:r>
          </w:p>
        </w:tc>
      </w:tr>
      <w:tr w:rsidR="00D44389" w:rsidRPr="003109CE" w14:paraId="4BC9712E" w14:textId="77777777" w:rsidTr="00CD52A8">
        <w:trPr>
          <w:trHeight w:val="885"/>
        </w:trPr>
        <w:tc>
          <w:tcPr>
            <w:tcW w:w="22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0EAE2" w14:textId="77777777" w:rsidR="00D44389" w:rsidRDefault="00D44389" w:rsidP="00D44389">
            <w:pPr>
              <w:spacing w:before="0" w:after="0" w:line="240" w:lineRule="auto"/>
              <w:rPr>
                <w:rFonts w:ascii="Arial Nova" w:hAnsi="Arial Nova" w:cs="Calibri"/>
                <w:color w:val="000000"/>
              </w:rPr>
            </w:pPr>
          </w:p>
        </w:tc>
        <w:tc>
          <w:tcPr>
            <w:tcW w:w="2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FA602" w14:textId="4F518846" w:rsidR="00D44389" w:rsidRDefault="00D44389" w:rsidP="00D44389">
            <w:pPr>
              <w:spacing w:before="0"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>
              <w:rPr>
                <w:rFonts w:ascii="Arial Nova" w:eastAsia="Times New Roman" w:hAnsi="Arial Nova" w:cs="Calibri"/>
                <w:color w:val="000000"/>
                <w:lang w:eastAsia="en-GB"/>
              </w:rPr>
              <w:t>We ensure that confidential waste bins are secure and collected regularly</w:t>
            </w:r>
          </w:p>
        </w:tc>
      </w:tr>
      <w:tr w:rsidR="00D44389" w:rsidRPr="003109CE" w14:paraId="36F53031" w14:textId="77777777" w:rsidTr="00CD52A8">
        <w:trPr>
          <w:trHeight w:val="885"/>
        </w:trPr>
        <w:tc>
          <w:tcPr>
            <w:tcW w:w="2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981B0" w14:textId="77777777" w:rsidR="00D44389" w:rsidRDefault="00D44389" w:rsidP="00D44389">
            <w:pPr>
              <w:spacing w:before="0" w:after="0" w:line="240" w:lineRule="auto"/>
              <w:rPr>
                <w:rFonts w:ascii="Arial Nova" w:hAnsi="Arial Nova" w:cs="Calibri"/>
                <w:color w:val="000000"/>
              </w:rPr>
            </w:pPr>
          </w:p>
        </w:tc>
        <w:tc>
          <w:tcPr>
            <w:tcW w:w="2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12311" w14:textId="1525B67B" w:rsidR="00D44389" w:rsidRDefault="00D44389" w:rsidP="00D44389">
            <w:pPr>
              <w:spacing w:before="0"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>
              <w:rPr>
                <w:rFonts w:ascii="Arial Nova" w:eastAsia="Times New Roman" w:hAnsi="Arial Nova" w:cs="Calibri"/>
                <w:color w:val="000000"/>
                <w:lang w:eastAsia="en-GB"/>
              </w:rPr>
              <w:t>We monitor any incidents related to confidential waste destruction</w:t>
            </w:r>
          </w:p>
        </w:tc>
      </w:tr>
      <w:tr w:rsidR="00CD52A8" w:rsidRPr="003109CE" w14:paraId="7E9DFD53" w14:textId="77777777" w:rsidTr="00CD52A8">
        <w:trPr>
          <w:trHeight w:val="885"/>
        </w:trPr>
        <w:tc>
          <w:tcPr>
            <w:tcW w:w="22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10303" w14:textId="7E9B3AA6" w:rsidR="00CD52A8" w:rsidRPr="003109CE" w:rsidRDefault="00CD52A8" w:rsidP="00D44389">
            <w:pPr>
              <w:spacing w:before="0"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>
              <w:rPr>
                <w:rFonts w:ascii="Arial Nova" w:hAnsi="Arial Nova" w:cs="Calibri"/>
                <w:color w:val="000000"/>
              </w:rPr>
              <w:t>PCSE NOTES</w:t>
            </w:r>
          </w:p>
        </w:tc>
        <w:tc>
          <w:tcPr>
            <w:tcW w:w="2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D7816" w14:textId="0986AF56" w:rsidR="00CD52A8" w:rsidRPr="003109CE" w:rsidRDefault="00CD52A8" w:rsidP="00D44389">
            <w:pPr>
              <w:spacing w:before="0"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>
              <w:rPr>
                <w:rFonts w:ascii="Arial Nova" w:eastAsia="Times New Roman" w:hAnsi="Arial Nova" w:cs="Calibri"/>
                <w:color w:val="000000"/>
                <w:lang w:eastAsia="en-GB"/>
              </w:rPr>
              <w:t>We monitor any incidents related to PCSE notes</w:t>
            </w:r>
          </w:p>
        </w:tc>
      </w:tr>
      <w:tr w:rsidR="00CD52A8" w:rsidRPr="003109CE" w14:paraId="051AF2B6" w14:textId="77777777" w:rsidTr="00CD52A8">
        <w:trPr>
          <w:trHeight w:val="885"/>
        </w:trPr>
        <w:tc>
          <w:tcPr>
            <w:tcW w:w="2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5201E" w14:textId="77777777" w:rsidR="00CD52A8" w:rsidRDefault="00CD52A8" w:rsidP="00D44389">
            <w:pPr>
              <w:spacing w:before="0" w:after="0" w:line="240" w:lineRule="auto"/>
              <w:rPr>
                <w:rFonts w:ascii="Arial Nova" w:hAnsi="Arial Nova" w:cs="Calibri"/>
                <w:color w:val="000000"/>
              </w:rPr>
            </w:pPr>
          </w:p>
        </w:tc>
        <w:tc>
          <w:tcPr>
            <w:tcW w:w="2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DEBC6" w14:textId="0628458E" w:rsidR="00CD52A8" w:rsidRDefault="00CD52A8" w:rsidP="00D44389">
            <w:pPr>
              <w:spacing w:before="0"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>
              <w:rPr>
                <w:rFonts w:ascii="Arial Nova" w:eastAsia="Times New Roman" w:hAnsi="Arial Nova" w:cs="Calibri"/>
                <w:color w:val="000000"/>
                <w:lang w:eastAsia="en-GB"/>
              </w:rPr>
              <w:t>We ensure that PCSE notes are stored securely and access is limited</w:t>
            </w:r>
          </w:p>
        </w:tc>
      </w:tr>
      <w:tr w:rsidR="00CD52A8" w:rsidRPr="003109CE" w14:paraId="3DFD7DEE" w14:textId="77777777" w:rsidTr="002271AC">
        <w:trPr>
          <w:trHeight w:val="885"/>
        </w:trPr>
        <w:tc>
          <w:tcPr>
            <w:tcW w:w="22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C65CC" w14:textId="5C5CD36C" w:rsidR="00CD52A8" w:rsidRPr="003109CE" w:rsidRDefault="00CD52A8" w:rsidP="00D44389">
            <w:pPr>
              <w:spacing w:before="0"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>
              <w:rPr>
                <w:rFonts w:ascii="Arial Nova" w:hAnsi="Arial Nova" w:cs="Calibri"/>
                <w:color w:val="000000"/>
              </w:rPr>
              <w:t>REMOTE WORKING</w:t>
            </w:r>
          </w:p>
        </w:tc>
        <w:tc>
          <w:tcPr>
            <w:tcW w:w="2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9F457" w14:textId="353EB1AD" w:rsidR="00CD52A8" w:rsidRPr="003109CE" w:rsidRDefault="00CD52A8" w:rsidP="00D44389">
            <w:pPr>
              <w:spacing w:before="0"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>
              <w:rPr>
                <w:rFonts w:ascii="Arial Nova" w:eastAsia="Times New Roman" w:hAnsi="Arial Nova" w:cs="Calibri"/>
                <w:color w:val="000000"/>
                <w:lang w:eastAsia="en-GB"/>
              </w:rPr>
              <w:t>Staff are provided with remote working protocols (these are included in IG08 Information Sharing and Privacy Protocol)</w:t>
            </w:r>
          </w:p>
        </w:tc>
      </w:tr>
      <w:tr w:rsidR="00CD52A8" w:rsidRPr="003109CE" w14:paraId="00022031" w14:textId="77777777" w:rsidTr="002271AC">
        <w:trPr>
          <w:trHeight w:val="885"/>
        </w:trPr>
        <w:tc>
          <w:tcPr>
            <w:tcW w:w="22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BF51E" w14:textId="77777777" w:rsidR="00CD52A8" w:rsidRDefault="00CD52A8" w:rsidP="00D44389">
            <w:pPr>
              <w:spacing w:before="0" w:after="0" w:line="240" w:lineRule="auto"/>
              <w:rPr>
                <w:rFonts w:ascii="Arial Nova" w:hAnsi="Arial Nova" w:cs="Calibri"/>
                <w:color w:val="000000"/>
              </w:rPr>
            </w:pPr>
          </w:p>
        </w:tc>
        <w:tc>
          <w:tcPr>
            <w:tcW w:w="2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755C5" w14:textId="0B25A84D" w:rsidR="00CD52A8" w:rsidRDefault="00CD52A8" w:rsidP="00D44389">
            <w:pPr>
              <w:spacing w:before="0"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>
              <w:rPr>
                <w:rFonts w:ascii="Arial Nova" w:eastAsia="Times New Roman" w:hAnsi="Arial Nova" w:cs="Calibri"/>
                <w:color w:val="000000"/>
                <w:lang w:eastAsia="en-GB"/>
              </w:rPr>
              <w:t>Staff are provided with secure connections for remote working (VPN)</w:t>
            </w:r>
          </w:p>
        </w:tc>
      </w:tr>
      <w:tr w:rsidR="00CD52A8" w:rsidRPr="003109CE" w14:paraId="5E8AF617" w14:textId="77777777" w:rsidTr="002271AC">
        <w:trPr>
          <w:trHeight w:val="885"/>
        </w:trPr>
        <w:tc>
          <w:tcPr>
            <w:tcW w:w="2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724B8" w14:textId="77777777" w:rsidR="00CD52A8" w:rsidRDefault="00CD52A8" w:rsidP="00D44389">
            <w:pPr>
              <w:spacing w:before="0" w:after="0" w:line="240" w:lineRule="auto"/>
              <w:rPr>
                <w:rFonts w:ascii="Arial Nova" w:hAnsi="Arial Nova" w:cs="Calibri"/>
                <w:color w:val="000000"/>
              </w:rPr>
            </w:pPr>
          </w:p>
        </w:tc>
        <w:tc>
          <w:tcPr>
            <w:tcW w:w="2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89F7A" w14:textId="0DA1F1D6" w:rsidR="00CD52A8" w:rsidRDefault="00CD52A8" w:rsidP="00D44389">
            <w:pPr>
              <w:spacing w:before="0"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>
              <w:rPr>
                <w:rFonts w:ascii="Arial Nova" w:eastAsia="Times New Roman" w:hAnsi="Arial Nova" w:cs="Calibri"/>
                <w:color w:val="000000"/>
                <w:lang w:eastAsia="en-GB"/>
              </w:rPr>
              <w:t>All staff have had IG training in the last 12 months</w:t>
            </w:r>
          </w:p>
        </w:tc>
      </w:tr>
      <w:tr w:rsidR="00CD52A8" w:rsidRPr="003109CE" w14:paraId="3B91C877" w14:textId="77777777" w:rsidTr="00CD52A8">
        <w:trPr>
          <w:trHeight w:val="885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4D686" w14:textId="4238056C" w:rsidR="00CD52A8" w:rsidRPr="003109CE" w:rsidRDefault="00CD52A8" w:rsidP="00D44389">
            <w:pPr>
              <w:spacing w:before="0"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>
              <w:rPr>
                <w:rFonts w:ascii="Arial Nova" w:hAnsi="Arial Nova" w:cs="Calibri"/>
                <w:color w:val="000000"/>
              </w:rPr>
              <w:t>DIABETIC EYE SCREENING</w:t>
            </w:r>
          </w:p>
        </w:tc>
        <w:tc>
          <w:tcPr>
            <w:tcW w:w="2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69BF6" w14:textId="1C7452F1" w:rsidR="00CD52A8" w:rsidRPr="003109CE" w:rsidRDefault="00CD52A8" w:rsidP="00D44389">
            <w:pPr>
              <w:spacing w:before="0"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>
              <w:rPr>
                <w:rFonts w:ascii="Arial Nova" w:eastAsia="Times New Roman" w:hAnsi="Arial Nova" w:cs="Calibri"/>
                <w:color w:val="000000"/>
                <w:lang w:eastAsia="en-GB"/>
              </w:rPr>
              <w:t xml:space="preserve">Our practice has instructed our </w:t>
            </w:r>
            <w:r w:rsidRPr="003109CE">
              <w:rPr>
                <w:rFonts w:ascii="Arial Nova" w:eastAsia="Times New Roman" w:hAnsi="Arial Nova" w:cs="Calibri"/>
                <w:color w:val="000000"/>
                <w:lang w:eastAsia="en-GB"/>
              </w:rPr>
              <w:t xml:space="preserve">DPO </w:t>
            </w:r>
            <w:r>
              <w:rPr>
                <w:rFonts w:ascii="Arial Nova" w:eastAsia="Times New Roman" w:hAnsi="Arial Nova" w:cs="Calibri"/>
                <w:color w:val="000000"/>
                <w:lang w:eastAsia="en-GB"/>
              </w:rPr>
              <w:t>who has conducted a DPIA (complete)</w:t>
            </w:r>
          </w:p>
        </w:tc>
      </w:tr>
      <w:tr w:rsidR="00CD52A8" w:rsidRPr="003109CE" w14:paraId="39850F19" w14:textId="77777777" w:rsidTr="00CD52A8">
        <w:trPr>
          <w:trHeight w:val="885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4562" w14:textId="57B3272E" w:rsidR="00CD52A8" w:rsidRPr="003109CE" w:rsidRDefault="00CD52A8" w:rsidP="00CD52A8">
            <w:pPr>
              <w:spacing w:before="0"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>
              <w:rPr>
                <w:rFonts w:ascii="Arial Nova" w:hAnsi="Arial Nova" w:cs="Calibri"/>
                <w:color w:val="000000"/>
              </w:rPr>
              <w:t>NHS Health Checks</w:t>
            </w:r>
          </w:p>
        </w:tc>
        <w:tc>
          <w:tcPr>
            <w:tcW w:w="2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6BDBC" w14:textId="0AE52C37" w:rsidR="00CD52A8" w:rsidRPr="003109CE" w:rsidRDefault="00CD52A8" w:rsidP="00CD52A8">
            <w:pPr>
              <w:spacing w:before="0"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>
              <w:rPr>
                <w:rFonts w:ascii="Arial Nova" w:eastAsia="Times New Roman" w:hAnsi="Arial Nova" w:cs="Calibri"/>
                <w:color w:val="000000"/>
                <w:lang w:eastAsia="en-GB"/>
              </w:rPr>
              <w:t xml:space="preserve">Our practice has instructed our </w:t>
            </w:r>
            <w:r w:rsidRPr="003109CE">
              <w:rPr>
                <w:rFonts w:ascii="Arial Nova" w:eastAsia="Times New Roman" w:hAnsi="Arial Nova" w:cs="Calibri"/>
                <w:color w:val="000000"/>
                <w:lang w:eastAsia="en-GB"/>
              </w:rPr>
              <w:t xml:space="preserve">DPO </w:t>
            </w:r>
            <w:r>
              <w:rPr>
                <w:rFonts w:ascii="Arial Nova" w:eastAsia="Times New Roman" w:hAnsi="Arial Nova" w:cs="Calibri"/>
                <w:color w:val="000000"/>
                <w:lang w:eastAsia="en-GB"/>
              </w:rPr>
              <w:t>who has conducted a DPIA (complete)</w:t>
            </w:r>
          </w:p>
        </w:tc>
      </w:tr>
    </w:tbl>
    <w:p w14:paraId="34B0019E" w14:textId="630372A7" w:rsidR="00CD52A8" w:rsidRDefault="00CD52A8" w:rsidP="00CD52A8">
      <w:pPr>
        <w:rPr>
          <w:rFonts w:ascii="Arial Nova" w:hAnsi="Arial Nova"/>
          <w:color w:val="4472C4" w:themeColor="accent1"/>
          <w:sz w:val="28"/>
          <w:szCs w:val="28"/>
        </w:rPr>
      </w:pPr>
      <w:r>
        <w:rPr>
          <w:rFonts w:ascii="Arial Nova" w:hAnsi="Arial Nova"/>
          <w:color w:val="4472C4" w:themeColor="accent1"/>
          <w:sz w:val="28"/>
          <w:szCs w:val="28"/>
        </w:rPr>
        <w:t xml:space="preserve">Introduction to Hannah </w:t>
      </w:r>
      <w:proofErr w:type="spellStart"/>
      <w:r>
        <w:rPr>
          <w:rFonts w:ascii="Arial Nova" w:hAnsi="Arial Nova"/>
          <w:color w:val="4472C4" w:themeColor="accent1"/>
          <w:sz w:val="28"/>
          <w:szCs w:val="28"/>
        </w:rPr>
        <w:t>Calway</w:t>
      </w:r>
      <w:proofErr w:type="spellEnd"/>
    </w:p>
    <w:p w14:paraId="16525AEB" w14:textId="5C56A7B8" w:rsidR="00CD52A8" w:rsidRPr="00CD52A8" w:rsidRDefault="00CD52A8" w:rsidP="00CD52A8">
      <w:pPr>
        <w:pStyle w:val="ListParagraph"/>
        <w:numPr>
          <w:ilvl w:val="0"/>
          <w:numId w:val="5"/>
        </w:numPr>
        <w:spacing w:line="360" w:lineRule="auto"/>
        <w:rPr>
          <w:rFonts w:ascii="Arial Nova" w:hAnsi="Arial Nova"/>
          <w:sz w:val="22"/>
          <w:szCs w:val="22"/>
        </w:rPr>
      </w:pPr>
      <w:r w:rsidRPr="00CD52A8">
        <w:rPr>
          <w:rFonts w:ascii="Arial Nova" w:hAnsi="Arial Nova"/>
          <w:sz w:val="22"/>
          <w:szCs w:val="22"/>
        </w:rPr>
        <w:t>Studied Law with Business at Brighton University</w:t>
      </w:r>
    </w:p>
    <w:p w14:paraId="34FFC20A" w14:textId="4EFA7241" w:rsidR="00CD52A8" w:rsidRPr="00CD52A8" w:rsidRDefault="00CD52A8" w:rsidP="00D03DBF">
      <w:pPr>
        <w:pStyle w:val="ListParagraph"/>
        <w:numPr>
          <w:ilvl w:val="0"/>
          <w:numId w:val="5"/>
        </w:numPr>
        <w:spacing w:line="360" w:lineRule="auto"/>
        <w:rPr>
          <w:rFonts w:ascii="Arial Nova" w:hAnsi="Arial Nova"/>
          <w:sz w:val="22"/>
          <w:szCs w:val="22"/>
        </w:rPr>
      </w:pPr>
      <w:r w:rsidRPr="00CD52A8">
        <w:rPr>
          <w:rFonts w:ascii="Arial Nova" w:hAnsi="Arial Nova"/>
          <w:sz w:val="22"/>
          <w:szCs w:val="22"/>
        </w:rPr>
        <w:t xml:space="preserve">This included International and EU Law, Contract, TORT and Criminal Studies. </w:t>
      </w:r>
      <w:r>
        <w:rPr>
          <w:rFonts w:ascii="Arial Nova" w:hAnsi="Arial Nova"/>
          <w:sz w:val="22"/>
          <w:szCs w:val="22"/>
        </w:rPr>
        <w:t>E</w:t>
      </w:r>
      <w:r w:rsidRPr="00CD52A8">
        <w:rPr>
          <w:rFonts w:ascii="Arial Nova" w:hAnsi="Arial Nova"/>
          <w:sz w:val="22"/>
          <w:szCs w:val="22"/>
        </w:rPr>
        <w:t>xperience in Power of Attorney</w:t>
      </w:r>
    </w:p>
    <w:p w14:paraId="63AFFC39" w14:textId="5E127231" w:rsidR="003109CE" w:rsidRPr="00CD52A8" w:rsidRDefault="00CD52A8" w:rsidP="00CD52A8">
      <w:pPr>
        <w:pStyle w:val="ListParagraph"/>
        <w:numPr>
          <w:ilvl w:val="0"/>
          <w:numId w:val="5"/>
        </w:numPr>
        <w:spacing w:line="360" w:lineRule="auto"/>
        <w:rPr>
          <w:rFonts w:ascii="Arial Nova" w:hAnsi="Arial Nova"/>
          <w:sz w:val="22"/>
          <w:szCs w:val="22"/>
        </w:rPr>
      </w:pPr>
      <w:r w:rsidRPr="00CD52A8">
        <w:rPr>
          <w:rFonts w:ascii="Arial Nova" w:hAnsi="Arial Nova"/>
          <w:sz w:val="22"/>
          <w:szCs w:val="22"/>
        </w:rPr>
        <w:t>Hannah is the Point of contact for any Information Governance Incidents</w:t>
      </w:r>
    </w:p>
    <w:p w14:paraId="20E16C9C" w14:textId="06FF8ADB" w:rsidR="00CD52A8" w:rsidRPr="00CD52A8" w:rsidRDefault="00CD52A8" w:rsidP="00CD52A8">
      <w:pPr>
        <w:pStyle w:val="ListParagraph"/>
        <w:numPr>
          <w:ilvl w:val="0"/>
          <w:numId w:val="5"/>
        </w:numPr>
        <w:spacing w:line="360" w:lineRule="auto"/>
        <w:rPr>
          <w:rFonts w:ascii="Arial Nova" w:hAnsi="Arial Nova"/>
          <w:sz w:val="22"/>
          <w:szCs w:val="22"/>
        </w:rPr>
      </w:pPr>
      <w:r w:rsidRPr="00CD52A8">
        <w:rPr>
          <w:rFonts w:ascii="Arial Nova" w:hAnsi="Arial Nova"/>
          <w:sz w:val="22"/>
          <w:szCs w:val="22"/>
        </w:rPr>
        <w:t xml:space="preserve">Any difficult SARS received can also be referred to Hannah </w:t>
      </w:r>
    </w:p>
    <w:p w14:paraId="09D69D0E" w14:textId="61183D4A" w:rsidR="00CD52A8" w:rsidRPr="00CD52A8" w:rsidRDefault="00CD52A8" w:rsidP="00CD52A8">
      <w:pPr>
        <w:pStyle w:val="ListParagraph"/>
        <w:numPr>
          <w:ilvl w:val="0"/>
          <w:numId w:val="5"/>
        </w:numPr>
        <w:spacing w:line="360" w:lineRule="auto"/>
        <w:rPr>
          <w:rFonts w:ascii="Arial Nova" w:hAnsi="Arial Nova"/>
          <w:sz w:val="22"/>
          <w:szCs w:val="22"/>
        </w:rPr>
      </w:pPr>
      <w:r w:rsidRPr="00CD52A8">
        <w:rPr>
          <w:rFonts w:ascii="Arial Nova" w:hAnsi="Arial Nova"/>
          <w:sz w:val="22"/>
          <w:szCs w:val="22"/>
        </w:rPr>
        <w:t>She is checking new and existing processors for compliance</w:t>
      </w:r>
    </w:p>
    <w:p w14:paraId="13C3BE93" w14:textId="668B3253" w:rsidR="00CD52A8" w:rsidRPr="00CD52A8" w:rsidRDefault="00CD52A8" w:rsidP="00CD52A8">
      <w:pPr>
        <w:pStyle w:val="ListParagraph"/>
        <w:numPr>
          <w:ilvl w:val="0"/>
          <w:numId w:val="5"/>
        </w:numPr>
        <w:spacing w:line="360" w:lineRule="auto"/>
        <w:rPr>
          <w:rFonts w:ascii="Arial Nova" w:hAnsi="Arial Nova"/>
          <w:sz w:val="22"/>
          <w:szCs w:val="22"/>
        </w:rPr>
      </w:pPr>
      <w:r w:rsidRPr="00CD52A8">
        <w:rPr>
          <w:rFonts w:ascii="Arial Nova" w:hAnsi="Arial Nova"/>
          <w:sz w:val="22"/>
          <w:szCs w:val="22"/>
        </w:rPr>
        <w:t>She is responsible for customer audits, including upcoming SAR audit to check internal compliance and for arranging workshops</w:t>
      </w:r>
    </w:p>
    <w:p w14:paraId="33E3977D" w14:textId="6E62215D" w:rsidR="00D44389" w:rsidRPr="00D44389" w:rsidRDefault="00D44389" w:rsidP="00157017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The Q3 cluster event also covered three themes.</w:t>
      </w:r>
    </w:p>
    <w:p w14:paraId="23631023" w14:textId="0CFB18D8" w:rsidR="00157017" w:rsidRPr="00EC60BF" w:rsidRDefault="00CD52A8" w:rsidP="00157017">
      <w:pPr>
        <w:rPr>
          <w:rFonts w:ascii="Arial Nova" w:hAnsi="Arial Nova"/>
          <w:color w:val="4472C4" w:themeColor="accent1"/>
          <w:sz w:val="28"/>
          <w:szCs w:val="28"/>
        </w:rPr>
      </w:pPr>
      <w:r>
        <w:rPr>
          <w:rFonts w:ascii="Arial Nova" w:hAnsi="Arial Nova"/>
          <w:color w:val="4472C4" w:themeColor="accent1"/>
          <w:sz w:val="28"/>
          <w:szCs w:val="28"/>
        </w:rPr>
        <w:t>Records Management</w:t>
      </w:r>
    </w:p>
    <w:p w14:paraId="2A6ECE7B" w14:textId="41A9DA30" w:rsidR="00157017" w:rsidRDefault="00CD52A8" w:rsidP="00157017">
      <w:pPr>
        <w:pStyle w:val="ListParagraph"/>
        <w:numPr>
          <w:ilvl w:val="0"/>
          <w:numId w:val="5"/>
        </w:numPr>
        <w:spacing w:line="360" w:lineRule="auto"/>
        <w:rPr>
          <w:rFonts w:ascii="Arial Nova" w:hAnsi="Arial Nova"/>
          <w:sz w:val="22"/>
          <w:szCs w:val="22"/>
        </w:rPr>
      </w:pPr>
      <w:r>
        <w:rPr>
          <w:rFonts w:ascii="Arial Nova" w:hAnsi="Arial Nova"/>
          <w:sz w:val="22"/>
          <w:szCs w:val="22"/>
        </w:rPr>
        <w:t>RM is important for effective working, risk reduction, information rights, NHS Care Records Guarantee.</w:t>
      </w:r>
    </w:p>
    <w:p w14:paraId="53EC3A8B" w14:textId="77777777" w:rsidR="00475584" w:rsidRDefault="00475584" w:rsidP="00157017">
      <w:pPr>
        <w:pStyle w:val="ListParagraph"/>
        <w:numPr>
          <w:ilvl w:val="0"/>
          <w:numId w:val="5"/>
        </w:numPr>
        <w:spacing w:line="360" w:lineRule="auto"/>
        <w:rPr>
          <w:rFonts w:ascii="Arial Nova" w:hAnsi="Arial Nova"/>
          <w:sz w:val="22"/>
          <w:szCs w:val="22"/>
        </w:rPr>
      </w:pPr>
      <w:r w:rsidRPr="00475584">
        <w:rPr>
          <w:rFonts w:ascii="Arial Nova" w:hAnsi="Arial Nova"/>
          <w:sz w:val="22"/>
          <w:szCs w:val="22"/>
        </w:rPr>
        <w:t xml:space="preserve">Records must be created within clinical systems or stored in the shared network </w:t>
      </w:r>
    </w:p>
    <w:p w14:paraId="5A4C427D" w14:textId="77777777" w:rsidR="00475584" w:rsidRDefault="00475584" w:rsidP="00157017">
      <w:pPr>
        <w:pStyle w:val="ListParagraph"/>
        <w:numPr>
          <w:ilvl w:val="0"/>
          <w:numId w:val="5"/>
        </w:numPr>
        <w:spacing w:line="360" w:lineRule="auto"/>
        <w:rPr>
          <w:rFonts w:ascii="Arial Nova" w:hAnsi="Arial Nova"/>
          <w:sz w:val="22"/>
          <w:szCs w:val="22"/>
        </w:rPr>
      </w:pPr>
      <w:r w:rsidRPr="00475584">
        <w:rPr>
          <w:rFonts w:ascii="Arial Nova" w:hAnsi="Arial Nova"/>
          <w:sz w:val="22"/>
          <w:szCs w:val="22"/>
        </w:rPr>
        <w:t>Records must not be stored in personal drives or mobile devices such as mobiles or memory sticks</w:t>
      </w:r>
    </w:p>
    <w:p w14:paraId="4EB72471" w14:textId="42CA6BA8" w:rsidR="00157017" w:rsidRDefault="00475584" w:rsidP="00157017">
      <w:pPr>
        <w:pStyle w:val="ListParagraph"/>
        <w:numPr>
          <w:ilvl w:val="0"/>
          <w:numId w:val="5"/>
        </w:numPr>
        <w:spacing w:line="360" w:lineRule="auto"/>
        <w:rPr>
          <w:rFonts w:ascii="Arial Nova" w:hAnsi="Arial Nova"/>
          <w:sz w:val="22"/>
          <w:szCs w:val="22"/>
        </w:rPr>
      </w:pPr>
      <w:r>
        <w:rPr>
          <w:rFonts w:ascii="Arial Nova" w:hAnsi="Arial Nova"/>
          <w:sz w:val="22"/>
          <w:szCs w:val="22"/>
        </w:rPr>
        <w:t>Try to name files in a logical way that is obvious to the user (</w:t>
      </w:r>
      <w:proofErr w:type="spellStart"/>
      <w:r>
        <w:rPr>
          <w:rFonts w:ascii="Arial Nova" w:hAnsi="Arial Nova"/>
          <w:sz w:val="22"/>
          <w:szCs w:val="22"/>
        </w:rPr>
        <w:t>e.g</w:t>
      </w:r>
      <w:proofErr w:type="spellEnd"/>
      <w:r>
        <w:rPr>
          <w:rFonts w:ascii="Arial Nova" w:hAnsi="Arial Nova"/>
          <w:sz w:val="22"/>
          <w:szCs w:val="22"/>
        </w:rPr>
        <w:t xml:space="preserve"> not “Dave’s spreadsheet”)</w:t>
      </w:r>
    </w:p>
    <w:p w14:paraId="7DDA47CE" w14:textId="77777777" w:rsidR="00475584" w:rsidRDefault="00475584" w:rsidP="007D53D5">
      <w:pPr>
        <w:pStyle w:val="ListParagraph"/>
        <w:numPr>
          <w:ilvl w:val="0"/>
          <w:numId w:val="5"/>
        </w:numPr>
        <w:spacing w:line="360" w:lineRule="auto"/>
        <w:rPr>
          <w:rFonts w:ascii="Arial Nova" w:hAnsi="Arial Nova"/>
          <w:sz w:val="22"/>
          <w:szCs w:val="22"/>
        </w:rPr>
      </w:pPr>
      <w:r>
        <w:rPr>
          <w:rFonts w:ascii="Arial Nova" w:hAnsi="Arial Nova"/>
          <w:sz w:val="22"/>
          <w:szCs w:val="22"/>
        </w:rPr>
        <w:lastRenderedPageBreak/>
        <w:t>Records must not be kept for longer then necessary for identified purpose(s)</w:t>
      </w:r>
    </w:p>
    <w:p w14:paraId="0EFC2F13" w14:textId="53913A3F" w:rsidR="00475584" w:rsidRDefault="00475584" w:rsidP="007D53D5">
      <w:pPr>
        <w:pStyle w:val="ListParagraph"/>
        <w:numPr>
          <w:ilvl w:val="0"/>
          <w:numId w:val="5"/>
        </w:numPr>
        <w:spacing w:line="360" w:lineRule="auto"/>
        <w:rPr>
          <w:rFonts w:ascii="Arial Nova" w:hAnsi="Arial Nova"/>
          <w:sz w:val="22"/>
          <w:szCs w:val="22"/>
        </w:rPr>
      </w:pPr>
      <w:r w:rsidRPr="00475584">
        <w:rPr>
          <w:rFonts w:ascii="Arial Nova" w:hAnsi="Arial Nova"/>
          <w:sz w:val="22"/>
          <w:szCs w:val="22"/>
        </w:rPr>
        <w:t>Department of Health RM Code identifies key retention periods for health and social care records</w:t>
      </w:r>
    </w:p>
    <w:p w14:paraId="1C6F6822" w14:textId="77777777" w:rsidR="00475584" w:rsidRDefault="00475584" w:rsidP="007D53D5">
      <w:pPr>
        <w:pStyle w:val="ListParagraph"/>
        <w:numPr>
          <w:ilvl w:val="0"/>
          <w:numId w:val="5"/>
        </w:numPr>
        <w:spacing w:line="360" w:lineRule="auto"/>
        <w:rPr>
          <w:rFonts w:ascii="Arial Nova" w:hAnsi="Arial Nova"/>
          <w:sz w:val="22"/>
          <w:szCs w:val="22"/>
        </w:rPr>
      </w:pPr>
      <w:r>
        <w:rPr>
          <w:rFonts w:ascii="Arial Nova" w:hAnsi="Arial Nova"/>
          <w:sz w:val="22"/>
          <w:szCs w:val="22"/>
        </w:rPr>
        <w:t xml:space="preserve">DPO has provided a simple Key Record Retention Schedule </w:t>
      </w:r>
      <w:hyperlink r:id="rId10" w:history="1">
        <w:r>
          <w:rPr>
            <w:rStyle w:val="Hyperlink"/>
            <w:rFonts w:ascii="Arial Nova" w:hAnsi="Arial Nova"/>
            <w:sz w:val="22"/>
            <w:szCs w:val="22"/>
          </w:rPr>
          <w:t>HERE</w:t>
        </w:r>
      </w:hyperlink>
    </w:p>
    <w:p w14:paraId="021AD17D" w14:textId="77777777" w:rsidR="00475584" w:rsidRDefault="00475584" w:rsidP="007D53D5">
      <w:pPr>
        <w:pStyle w:val="ListParagraph"/>
        <w:numPr>
          <w:ilvl w:val="0"/>
          <w:numId w:val="5"/>
        </w:numPr>
        <w:spacing w:line="360" w:lineRule="auto"/>
        <w:rPr>
          <w:rFonts w:ascii="Arial Nova" w:hAnsi="Arial Nova"/>
          <w:sz w:val="22"/>
          <w:szCs w:val="22"/>
        </w:rPr>
      </w:pPr>
      <w:r>
        <w:rPr>
          <w:rFonts w:ascii="Arial Nova" w:hAnsi="Arial Nova"/>
          <w:sz w:val="22"/>
          <w:szCs w:val="22"/>
        </w:rPr>
        <w:t xml:space="preserve">DPO has developed a simple process for regularly undertaking a records retention / management review at the bottom of the page </w:t>
      </w:r>
      <w:hyperlink r:id="rId11" w:history="1">
        <w:r>
          <w:rPr>
            <w:rStyle w:val="Hyperlink"/>
            <w:rFonts w:ascii="Arial Nova" w:hAnsi="Arial Nova"/>
            <w:sz w:val="22"/>
            <w:szCs w:val="22"/>
          </w:rPr>
          <w:t>HERE</w:t>
        </w:r>
      </w:hyperlink>
    </w:p>
    <w:p w14:paraId="057465B9" w14:textId="51D79922" w:rsidR="00475584" w:rsidRDefault="00475584" w:rsidP="007D53D5">
      <w:pPr>
        <w:pStyle w:val="ListParagraph"/>
        <w:numPr>
          <w:ilvl w:val="0"/>
          <w:numId w:val="5"/>
        </w:numPr>
        <w:spacing w:line="360" w:lineRule="auto"/>
        <w:rPr>
          <w:rFonts w:ascii="Arial Nova" w:hAnsi="Arial Nova"/>
          <w:sz w:val="22"/>
          <w:szCs w:val="22"/>
        </w:rPr>
      </w:pPr>
      <w:r>
        <w:rPr>
          <w:rFonts w:ascii="Arial Nova" w:hAnsi="Arial Nova"/>
          <w:sz w:val="22"/>
          <w:szCs w:val="22"/>
        </w:rPr>
        <w:t xml:space="preserve"> </w:t>
      </w:r>
      <w:r w:rsidRPr="00475584">
        <w:rPr>
          <w:rFonts w:ascii="Arial Nova" w:hAnsi="Arial Nova"/>
          <w:sz w:val="22"/>
          <w:szCs w:val="22"/>
        </w:rPr>
        <w:t xml:space="preserve">Destruction digital records must be in line with international standards - CSU </w:t>
      </w:r>
      <w:r>
        <w:rPr>
          <w:rFonts w:ascii="Arial Nova" w:hAnsi="Arial Nova"/>
          <w:sz w:val="22"/>
          <w:szCs w:val="22"/>
        </w:rPr>
        <w:t>should provide these to you when they collect hardware</w:t>
      </w:r>
    </w:p>
    <w:p w14:paraId="571A84CB" w14:textId="0ABC17D2" w:rsidR="00475584" w:rsidRPr="00475584" w:rsidRDefault="00475584" w:rsidP="007D53D5">
      <w:pPr>
        <w:pStyle w:val="ListParagraph"/>
        <w:numPr>
          <w:ilvl w:val="0"/>
          <w:numId w:val="5"/>
        </w:numPr>
        <w:spacing w:line="360" w:lineRule="auto"/>
        <w:rPr>
          <w:rFonts w:ascii="Arial Nova" w:hAnsi="Arial Nova"/>
          <w:sz w:val="22"/>
          <w:szCs w:val="22"/>
        </w:rPr>
      </w:pPr>
      <w:r w:rsidRPr="00475584">
        <w:rPr>
          <w:rFonts w:ascii="Arial Nova" w:hAnsi="Arial Nova"/>
          <w:sz w:val="22"/>
          <w:szCs w:val="22"/>
        </w:rPr>
        <w:t>Paper records must be destroyed in line with NHS Digital Standards</w:t>
      </w:r>
      <w:r>
        <w:rPr>
          <w:rFonts w:ascii="Arial Nova" w:hAnsi="Arial Nova"/>
          <w:sz w:val="22"/>
          <w:szCs w:val="22"/>
        </w:rPr>
        <w:t xml:space="preserve"> so do retain all certificates of destruction from your confidential waste service provider</w:t>
      </w:r>
    </w:p>
    <w:p w14:paraId="3DE2E706" w14:textId="12BFEDDD" w:rsidR="007D53D5" w:rsidRPr="00EC60BF" w:rsidRDefault="00475584" w:rsidP="007D53D5">
      <w:pPr>
        <w:rPr>
          <w:rFonts w:ascii="Arial Nova" w:hAnsi="Arial Nova"/>
          <w:color w:val="4472C4" w:themeColor="accent1"/>
          <w:sz w:val="28"/>
          <w:szCs w:val="28"/>
        </w:rPr>
      </w:pPr>
      <w:r>
        <w:rPr>
          <w:rFonts w:ascii="Arial Nova" w:hAnsi="Arial Nova"/>
          <w:color w:val="4472C4" w:themeColor="accent1"/>
          <w:sz w:val="28"/>
          <w:szCs w:val="28"/>
        </w:rPr>
        <w:t>Training and Awareness</w:t>
      </w:r>
    </w:p>
    <w:p w14:paraId="1F47EAD7" w14:textId="77777777" w:rsidR="00475584" w:rsidRDefault="00475584" w:rsidP="00475584">
      <w:pPr>
        <w:pStyle w:val="ListParagraph"/>
        <w:numPr>
          <w:ilvl w:val="0"/>
          <w:numId w:val="5"/>
        </w:numPr>
        <w:spacing w:line="360" w:lineRule="auto"/>
        <w:rPr>
          <w:rFonts w:ascii="Arial Nova" w:hAnsi="Arial Nova"/>
          <w:sz w:val="22"/>
          <w:szCs w:val="22"/>
        </w:rPr>
      </w:pPr>
      <w:r>
        <w:rPr>
          <w:rFonts w:ascii="Arial Nova" w:hAnsi="Arial Nova"/>
          <w:sz w:val="22"/>
          <w:szCs w:val="22"/>
        </w:rPr>
        <w:t xml:space="preserve">You should undertake an internal </w:t>
      </w:r>
      <w:r w:rsidRPr="00475584">
        <w:rPr>
          <w:rFonts w:ascii="Arial Nova" w:hAnsi="Arial Nova"/>
          <w:sz w:val="22"/>
          <w:szCs w:val="22"/>
        </w:rPr>
        <w:t>Training Needs Analysis</w:t>
      </w:r>
      <w:r>
        <w:rPr>
          <w:rFonts w:ascii="Arial Nova" w:hAnsi="Arial Nova"/>
          <w:sz w:val="22"/>
          <w:szCs w:val="22"/>
        </w:rPr>
        <w:t xml:space="preserve">. A template can be found at bottom of the page </w:t>
      </w:r>
      <w:hyperlink r:id="rId12" w:history="1">
        <w:r>
          <w:rPr>
            <w:rStyle w:val="Hyperlink"/>
            <w:rFonts w:ascii="Arial Nova" w:hAnsi="Arial Nova"/>
            <w:sz w:val="22"/>
            <w:szCs w:val="22"/>
          </w:rPr>
          <w:t>HERE</w:t>
        </w:r>
      </w:hyperlink>
      <w:r>
        <w:rPr>
          <w:rFonts w:ascii="Arial Nova" w:hAnsi="Arial Nova"/>
          <w:sz w:val="22"/>
          <w:szCs w:val="22"/>
        </w:rPr>
        <w:t xml:space="preserve"> </w:t>
      </w:r>
    </w:p>
    <w:p w14:paraId="7DA0A160" w14:textId="7257D3B0" w:rsidR="007D53D5" w:rsidRDefault="00475584" w:rsidP="00475584">
      <w:pPr>
        <w:pStyle w:val="ListParagraph"/>
        <w:numPr>
          <w:ilvl w:val="0"/>
          <w:numId w:val="5"/>
        </w:numPr>
        <w:spacing w:line="360" w:lineRule="auto"/>
        <w:rPr>
          <w:rFonts w:ascii="Arial Nova" w:hAnsi="Arial Nova"/>
          <w:sz w:val="22"/>
          <w:szCs w:val="22"/>
        </w:rPr>
      </w:pPr>
      <w:r w:rsidRPr="00475584">
        <w:rPr>
          <w:rFonts w:ascii="Arial Nova" w:hAnsi="Arial Nova"/>
          <w:sz w:val="22"/>
          <w:szCs w:val="22"/>
        </w:rPr>
        <w:t xml:space="preserve">ALL staff </w:t>
      </w:r>
      <w:r w:rsidR="005E3700">
        <w:rPr>
          <w:rFonts w:ascii="Arial Nova" w:hAnsi="Arial Nova"/>
          <w:sz w:val="22"/>
          <w:szCs w:val="22"/>
        </w:rPr>
        <w:t xml:space="preserve">must have been </w:t>
      </w:r>
      <w:r w:rsidRPr="00475584">
        <w:rPr>
          <w:rFonts w:ascii="Arial Nova" w:hAnsi="Arial Nova"/>
          <w:sz w:val="22"/>
          <w:szCs w:val="22"/>
        </w:rPr>
        <w:t>trained in</w:t>
      </w:r>
      <w:r w:rsidR="005E3700">
        <w:rPr>
          <w:rFonts w:ascii="Arial Nova" w:hAnsi="Arial Nova"/>
          <w:sz w:val="22"/>
          <w:szCs w:val="22"/>
        </w:rPr>
        <w:t xml:space="preserve"> data security in the</w:t>
      </w:r>
      <w:r w:rsidRPr="00475584">
        <w:rPr>
          <w:rFonts w:ascii="Arial Nova" w:hAnsi="Arial Nova"/>
          <w:sz w:val="22"/>
          <w:szCs w:val="22"/>
        </w:rPr>
        <w:t xml:space="preserve"> last 12 months </w:t>
      </w:r>
      <w:r w:rsidR="005E3700">
        <w:rPr>
          <w:rFonts w:ascii="Arial Nova" w:hAnsi="Arial Nova"/>
          <w:sz w:val="22"/>
          <w:szCs w:val="22"/>
        </w:rPr>
        <w:t>–</w:t>
      </w:r>
      <w:r w:rsidRPr="00475584">
        <w:rPr>
          <w:rFonts w:ascii="Arial Nova" w:hAnsi="Arial Nova"/>
          <w:sz w:val="22"/>
          <w:szCs w:val="22"/>
        </w:rPr>
        <w:t xml:space="preserve"> ICO</w:t>
      </w:r>
      <w:r w:rsidR="005E3700">
        <w:rPr>
          <w:rFonts w:ascii="Arial Nova" w:hAnsi="Arial Nova"/>
          <w:sz w:val="22"/>
          <w:szCs w:val="22"/>
        </w:rPr>
        <w:t xml:space="preserve"> always ask for evidence of this</w:t>
      </w:r>
    </w:p>
    <w:p w14:paraId="2E6105A5" w14:textId="62356794" w:rsidR="005E3700" w:rsidRDefault="005E3700" w:rsidP="00475584">
      <w:pPr>
        <w:pStyle w:val="ListParagraph"/>
        <w:numPr>
          <w:ilvl w:val="0"/>
          <w:numId w:val="5"/>
        </w:numPr>
        <w:spacing w:line="360" w:lineRule="auto"/>
        <w:rPr>
          <w:rFonts w:ascii="Arial Nova" w:hAnsi="Arial Nova"/>
          <w:sz w:val="22"/>
          <w:szCs w:val="22"/>
        </w:rPr>
      </w:pPr>
      <w:r>
        <w:rPr>
          <w:rFonts w:ascii="Arial Nova" w:hAnsi="Arial Nova"/>
          <w:sz w:val="22"/>
          <w:szCs w:val="22"/>
        </w:rPr>
        <w:t>DPO has provided dates for Caldicot and SIRO training (optional)</w:t>
      </w:r>
    </w:p>
    <w:p w14:paraId="76029EC7" w14:textId="15BE7C68" w:rsidR="005E3700" w:rsidRDefault="005E3700" w:rsidP="005E3700">
      <w:pPr>
        <w:rPr>
          <w:rFonts w:ascii="Arial Nova" w:hAnsi="Arial Nova"/>
          <w:color w:val="4472C4" w:themeColor="accent1"/>
          <w:sz w:val="28"/>
          <w:szCs w:val="28"/>
        </w:rPr>
      </w:pPr>
      <w:r>
        <w:rPr>
          <w:rFonts w:ascii="Arial Nova" w:hAnsi="Arial Nova"/>
          <w:color w:val="4472C4" w:themeColor="accent1"/>
          <w:sz w:val="28"/>
          <w:szCs w:val="28"/>
        </w:rPr>
        <w:t>Data Security Toolkit</w:t>
      </w:r>
    </w:p>
    <w:p w14:paraId="2BBD7307" w14:textId="67548775" w:rsidR="005E3700" w:rsidRDefault="005E3700" w:rsidP="005E3700">
      <w:pPr>
        <w:pStyle w:val="ListParagraph"/>
        <w:numPr>
          <w:ilvl w:val="0"/>
          <w:numId w:val="5"/>
        </w:numPr>
        <w:spacing w:line="360" w:lineRule="auto"/>
        <w:rPr>
          <w:rFonts w:ascii="Arial Nova" w:hAnsi="Arial Nova"/>
          <w:sz w:val="22"/>
          <w:szCs w:val="22"/>
        </w:rPr>
      </w:pPr>
      <w:r>
        <w:rPr>
          <w:rFonts w:ascii="Arial Nova" w:hAnsi="Arial Nova"/>
          <w:sz w:val="22"/>
          <w:szCs w:val="22"/>
        </w:rPr>
        <w:t>We went through the toolkit line by line</w:t>
      </w:r>
    </w:p>
    <w:p w14:paraId="30DD8E50" w14:textId="6BFD64D6" w:rsidR="005E3700" w:rsidRDefault="005E3700" w:rsidP="005E3700">
      <w:pPr>
        <w:pStyle w:val="ListParagraph"/>
        <w:numPr>
          <w:ilvl w:val="0"/>
          <w:numId w:val="5"/>
        </w:numPr>
        <w:spacing w:line="360" w:lineRule="auto"/>
        <w:rPr>
          <w:rFonts w:ascii="Arial Nova" w:hAnsi="Arial Nova"/>
          <w:sz w:val="22"/>
          <w:szCs w:val="22"/>
        </w:rPr>
      </w:pPr>
      <w:r>
        <w:rPr>
          <w:rFonts w:ascii="Arial Nova" w:hAnsi="Arial Nova"/>
          <w:sz w:val="22"/>
          <w:szCs w:val="22"/>
        </w:rPr>
        <w:t>A guide for completion was provided to all customers</w:t>
      </w:r>
    </w:p>
    <w:p w14:paraId="7312675E" w14:textId="399B993E" w:rsidR="005E3700" w:rsidRDefault="005E3700" w:rsidP="005E3700">
      <w:pPr>
        <w:pStyle w:val="ListParagraph"/>
        <w:numPr>
          <w:ilvl w:val="0"/>
          <w:numId w:val="5"/>
        </w:numPr>
        <w:spacing w:line="360" w:lineRule="auto"/>
        <w:rPr>
          <w:rFonts w:ascii="Arial Nova" w:hAnsi="Arial Nova"/>
          <w:sz w:val="22"/>
          <w:szCs w:val="22"/>
        </w:rPr>
      </w:pPr>
      <w:r>
        <w:rPr>
          <w:rFonts w:ascii="Arial Nova" w:hAnsi="Arial Nova"/>
          <w:sz w:val="22"/>
          <w:szCs w:val="22"/>
        </w:rPr>
        <w:t>DPO actions will be completed in coming weeks</w:t>
      </w:r>
    </w:p>
    <w:p w14:paraId="2152A954" w14:textId="4FFBAFDD" w:rsidR="005E3700" w:rsidRDefault="005E3700" w:rsidP="005E3700">
      <w:pPr>
        <w:pStyle w:val="ListParagraph"/>
        <w:numPr>
          <w:ilvl w:val="0"/>
          <w:numId w:val="5"/>
        </w:numPr>
        <w:spacing w:line="360" w:lineRule="auto"/>
        <w:rPr>
          <w:rFonts w:ascii="Arial Nova" w:hAnsi="Arial Nova"/>
          <w:sz w:val="22"/>
          <w:szCs w:val="22"/>
        </w:rPr>
      </w:pPr>
      <w:r>
        <w:rPr>
          <w:rFonts w:ascii="Arial Nova" w:hAnsi="Arial Nova"/>
          <w:sz w:val="22"/>
          <w:szCs w:val="22"/>
        </w:rPr>
        <w:t>DPO will continue to liaise with CCG / CSU for other evidence</w:t>
      </w:r>
    </w:p>
    <w:p w14:paraId="28EC85A5" w14:textId="5496F9C3" w:rsidR="005E3700" w:rsidRPr="00BE43A2" w:rsidRDefault="005E3700" w:rsidP="003F7F49">
      <w:pPr>
        <w:pStyle w:val="ListParagraph"/>
        <w:numPr>
          <w:ilvl w:val="0"/>
          <w:numId w:val="5"/>
        </w:numPr>
        <w:spacing w:line="360" w:lineRule="auto"/>
        <w:rPr>
          <w:rFonts w:ascii="Arial Nova" w:hAnsi="Arial Nova"/>
          <w:sz w:val="22"/>
          <w:szCs w:val="22"/>
        </w:rPr>
      </w:pPr>
      <w:r w:rsidRPr="00BE43A2">
        <w:rPr>
          <w:rFonts w:ascii="Arial Nova" w:hAnsi="Arial Nova"/>
          <w:sz w:val="22"/>
          <w:szCs w:val="22"/>
        </w:rPr>
        <w:t>DPO will draft an agreement that System Administrators can sign to hold them accountable</w:t>
      </w:r>
    </w:p>
    <w:p w14:paraId="197933CF" w14:textId="77777777" w:rsidR="00EC60BF" w:rsidRPr="00964E80" w:rsidRDefault="00EC60BF" w:rsidP="00EC60BF">
      <w:pPr>
        <w:pStyle w:val="Heading2"/>
        <w:rPr>
          <w:sz w:val="28"/>
          <w:szCs w:val="28"/>
        </w:rPr>
      </w:pPr>
      <w:r w:rsidRPr="00964E80">
        <w:rPr>
          <w:sz w:val="28"/>
          <w:szCs w:val="28"/>
        </w:rPr>
        <w:t>What is our DPO doing between now and the next event?</w:t>
      </w:r>
    </w:p>
    <w:p w14:paraId="63A7D3BC" w14:textId="299132C5" w:rsidR="00964E80" w:rsidRPr="00D56630" w:rsidRDefault="00964E80" w:rsidP="00964E80">
      <w:pPr>
        <w:pStyle w:val="ListParagraph"/>
        <w:numPr>
          <w:ilvl w:val="0"/>
          <w:numId w:val="7"/>
        </w:numPr>
        <w:spacing w:line="480" w:lineRule="auto"/>
        <w:ind w:left="357" w:hanging="357"/>
        <w:rPr>
          <w:rFonts w:ascii="Arial Nova" w:hAnsi="Arial Nova"/>
          <w:sz w:val="22"/>
          <w:szCs w:val="22"/>
        </w:rPr>
      </w:pPr>
      <w:r w:rsidRPr="00D56630">
        <w:rPr>
          <w:rFonts w:ascii="Arial Nova" w:hAnsi="Arial Nova"/>
          <w:sz w:val="22"/>
          <w:szCs w:val="22"/>
        </w:rPr>
        <w:t xml:space="preserve">Sending quarterly newsletter </w:t>
      </w:r>
      <w:r w:rsidRPr="00D56630">
        <w:rPr>
          <w:noProof/>
          <w:sz w:val="22"/>
          <w:szCs w:val="22"/>
          <w:lang w:eastAsia="en-GB"/>
        </w:rPr>
        <w:drawing>
          <wp:inline distT="0" distB="0" distL="0" distR="0" wp14:anchorId="42557819" wp14:editId="4CDE9E60">
            <wp:extent cx="142875" cy="163520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liponious-green-ti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36" cy="168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3CC9FE" w14:textId="44A112B7" w:rsidR="00964E80" w:rsidRPr="00D56630" w:rsidRDefault="005E3700" w:rsidP="00964E80">
      <w:pPr>
        <w:pStyle w:val="ListParagraph"/>
        <w:numPr>
          <w:ilvl w:val="0"/>
          <w:numId w:val="7"/>
        </w:numPr>
        <w:spacing w:line="480" w:lineRule="auto"/>
        <w:ind w:left="357" w:hanging="357"/>
        <w:rPr>
          <w:rFonts w:ascii="Arial Nova" w:hAnsi="Arial Nova"/>
          <w:sz w:val="22"/>
          <w:szCs w:val="22"/>
        </w:rPr>
      </w:pPr>
      <w:r>
        <w:rPr>
          <w:rFonts w:ascii="Arial Nova" w:hAnsi="Arial Nova"/>
          <w:sz w:val="22"/>
          <w:szCs w:val="22"/>
        </w:rPr>
        <w:lastRenderedPageBreak/>
        <w:t>Arranging SAR Webinars</w:t>
      </w:r>
      <w:r w:rsidR="009C095E">
        <w:rPr>
          <w:rFonts w:ascii="Arial Nova" w:hAnsi="Arial Nova"/>
          <w:sz w:val="22"/>
          <w:szCs w:val="22"/>
        </w:rPr>
        <w:t xml:space="preserve"> </w:t>
      </w:r>
      <w:r w:rsidR="00964E80" w:rsidRPr="00D56630">
        <w:rPr>
          <w:noProof/>
          <w:sz w:val="22"/>
          <w:szCs w:val="22"/>
          <w:lang w:eastAsia="en-GB"/>
        </w:rPr>
        <w:drawing>
          <wp:inline distT="0" distB="0" distL="0" distR="0" wp14:anchorId="584FFE5D" wp14:editId="034AB654">
            <wp:extent cx="133350" cy="15261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liponious-green-ti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32" cy="157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9740C" w14:textId="2362E352" w:rsidR="00964E80" w:rsidRDefault="005E3700" w:rsidP="00964E80">
      <w:pPr>
        <w:pStyle w:val="ListParagraph"/>
        <w:numPr>
          <w:ilvl w:val="0"/>
          <w:numId w:val="7"/>
        </w:numPr>
        <w:spacing w:line="480" w:lineRule="auto"/>
        <w:ind w:left="357" w:hanging="357"/>
        <w:rPr>
          <w:rFonts w:ascii="Arial Nova" w:hAnsi="Arial Nova"/>
          <w:sz w:val="22"/>
          <w:szCs w:val="22"/>
        </w:rPr>
      </w:pPr>
      <w:r>
        <w:rPr>
          <w:rFonts w:ascii="Arial Nova" w:hAnsi="Arial Nova"/>
          <w:sz w:val="22"/>
          <w:szCs w:val="22"/>
        </w:rPr>
        <w:t xml:space="preserve">Providing system list for toolkit evidence - </w:t>
      </w:r>
      <w:r w:rsidRPr="00AA2972">
        <w:rPr>
          <w:rFonts w:ascii="Arial Nova" w:hAnsi="Arial Nova"/>
          <w:b/>
          <w:color w:val="FFC000"/>
          <w:sz w:val="22"/>
          <w:szCs w:val="22"/>
        </w:rPr>
        <w:t>Pending</w:t>
      </w:r>
    </w:p>
    <w:p w14:paraId="77189D53" w14:textId="28328564" w:rsidR="005E3700" w:rsidRPr="005E3700" w:rsidRDefault="005E3700" w:rsidP="00964E80">
      <w:pPr>
        <w:pStyle w:val="ListParagraph"/>
        <w:numPr>
          <w:ilvl w:val="0"/>
          <w:numId w:val="7"/>
        </w:numPr>
        <w:spacing w:line="480" w:lineRule="auto"/>
        <w:ind w:left="357" w:hanging="357"/>
        <w:rPr>
          <w:rFonts w:ascii="Arial Nova" w:hAnsi="Arial Nova"/>
          <w:sz w:val="22"/>
          <w:szCs w:val="22"/>
        </w:rPr>
      </w:pPr>
      <w:r>
        <w:rPr>
          <w:rFonts w:ascii="Arial Nova" w:hAnsi="Arial Nova"/>
          <w:sz w:val="22"/>
          <w:szCs w:val="22"/>
        </w:rPr>
        <w:t xml:space="preserve">Providing contract list for toolkit evidence- </w:t>
      </w:r>
      <w:r w:rsidRPr="00AA2972">
        <w:rPr>
          <w:rFonts w:ascii="Arial Nova" w:hAnsi="Arial Nova"/>
          <w:b/>
          <w:color w:val="FFC000"/>
          <w:sz w:val="22"/>
          <w:szCs w:val="22"/>
        </w:rPr>
        <w:t>Pending</w:t>
      </w:r>
    </w:p>
    <w:p w14:paraId="35B8A91C" w14:textId="77777777" w:rsidR="005E3700" w:rsidRPr="005E3700" w:rsidRDefault="005E3700" w:rsidP="005E3700">
      <w:pPr>
        <w:pStyle w:val="ListParagraph"/>
        <w:numPr>
          <w:ilvl w:val="0"/>
          <w:numId w:val="7"/>
        </w:numPr>
        <w:spacing w:line="480" w:lineRule="auto"/>
        <w:ind w:left="357" w:hanging="357"/>
        <w:rPr>
          <w:rFonts w:ascii="Arial Nova" w:hAnsi="Arial Nova"/>
          <w:sz w:val="22"/>
          <w:szCs w:val="22"/>
        </w:rPr>
      </w:pPr>
      <w:r w:rsidRPr="005E3700">
        <w:rPr>
          <w:rFonts w:ascii="Arial Nova" w:hAnsi="Arial Nova"/>
          <w:sz w:val="22"/>
          <w:szCs w:val="22"/>
        </w:rPr>
        <w:t xml:space="preserve">Creating cluster-wide policies and protocols to prevent the need for branding locally and to allow staff to access them directly within the </w:t>
      </w:r>
      <w:proofErr w:type="spellStart"/>
      <w:r w:rsidRPr="005E3700">
        <w:rPr>
          <w:rFonts w:ascii="Arial Nova" w:hAnsi="Arial Nova"/>
          <w:sz w:val="22"/>
          <w:szCs w:val="22"/>
        </w:rPr>
        <w:t>Mydpo</w:t>
      </w:r>
      <w:proofErr w:type="spellEnd"/>
      <w:r w:rsidRPr="005E3700">
        <w:rPr>
          <w:rFonts w:ascii="Arial Nova" w:hAnsi="Arial Nova"/>
          <w:sz w:val="22"/>
          <w:szCs w:val="22"/>
        </w:rPr>
        <w:t xml:space="preserve"> repository</w:t>
      </w:r>
      <w:r>
        <w:rPr>
          <w:rFonts w:ascii="Arial Nova" w:hAnsi="Arial Nova"/>
          <w:sz w:val="22"/>
          <w:szCs w:val="22"/>
        </w:rPr>
        <w:t xml:space="preserve">- </w:t>
      </w:r>
      <w:r w:rsidRPr="00AA2972">
        <w:rPr>
          <w:rFonts w:ascii="Arial Nova" w:hAnsi="Arial Nova"/>
          <w:b/>
          <w:color w:val="FFC000"/>
          <w:sz w:val="22"/>
          <w:szCs w:val="22"/>
        </w:rPr>
        <w:t>Pending</w:t>
      </w:r>
    </w:p>
    <w:p w14:paraId="35341855" w14:textId="334EBBA1" w:rsidR="005E3700" w:rsidRPr="005E3700" w:rsidRDefault="005E3700" w:rsidP="00964E80">
      <w:pPr>
        <w:pStyle w:val="ListParagraph"/>
        <w:numPr>
          <w:ilvl w:val="0"/>
          <w:numId w:val="7"/>
        </w:numPr>
        <w:spacing w:line="480" w:lineRule="auto"/>
        <w:ind w:left="357" w:hanging="357"/>
        <w:rPr>
          <w:rFonts w:ascii="Arial Nova" w:hAnsi="Arial Nova"/>
          <w:sz w:val="22"/>
          <w:szCs w:val="22"/>
        </w:rPr>
      </w:pPr>
      <w:r>
        <w:rPr>
          <w:rFonts w:ascii="Arial Nova" w:hAnsi="Arial Nova"/>
          <w:sz w:val="22"/>
          <w:szCs w:val="22"/>
        </w:rPr>
        <w:t xml:space="preserve">Risk review the systems where passwords are shared- </w:t>
      </w:r>
      <w:r w:rsidRPr="00AA2972">
        <w:rPr>
          <w:rFonts w:ascii="Arial Nova" w:hAnsi="Arial Nova"/>
          <w:b/>
          <w:color w:val="FFC000"/>
          <w:sz w:val="22"/>
          <w:szCs w:val="22"/>
        </w:rPr>
        <w:t>Pending</w:t>
      </w:r>
    </w:p>
    <w:p w14:paraId="6E80E521" w14:textId="17B8C16B" w:rsidR="005E3700" w:rsidRDefault="005E3700" w:rsidP="00964E80">
      <w:pPr>
        <w:pStyle w:val="ListParagraph"/>
        <w:numPr>
          <w:ilvl w:val="0"/>
          <w:numId w:val="7"/>
        </w:numPr>
        <w:spacing w:line="480" w:lineRule="auto"/>
        <w:ind w:left="357" w:hanging="357"/>
        <w:rPr>
          <w:rFonts w:ascii="Arial Nova" w:hAnsi="Arial Nova"/>
          <w:sz w:val="22"/>
          <w:szCs w:val="22"/>
        </w:rPr>
      </w:pPr>
      <w:r w:rsidRPr="005E3700">
        <w:rPr>
          <w:rFonts w:ascii="Arial Nova" w:hAnsi="Arial Nova"/>
          <w:sz w:val="22"/>
          <w:szCs w:val="22"/>
        </w:rPr>
        <w:t xml:space="preserve">Produce </w:t>
      </w:r>
      <w:r>
        <w:rPr>
          <w:rFonts w:ascii="Arial Nova" w:hAnsi="Arial Nova"/>
          <w:sz w:val="22"/>
          <w:szCs w:val="22"/>
        </w:rPr>
        <w:t>an agreement that can be signed by System Administrators</w:t>
      </w:r>
      <w:r w:rsidRPr="00D56630">
        <w:rPr>
          <w:noProof/>
          <w:sz w:val="22"/>
          <w:szCs w:val="22"/>
          <w:lang w:eastAsia="en-GB"/>
        </w:rPr>
        <w:drawing>
          <wp:inline distT="0" distB="0" distL="0" distR="0" wp14:anchorId="56DBCDFA" wp14:editId="4979CE14">
            <wp:extent cx="133350" cy="152618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liponious-green-ti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32" cy="157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E0E231" w14:textId="71BF647B" w:rsidR="005E3700" w:rsidRPr="00D56630" w:rsidRDefault="005E3700" w:rsidP="00964E80">
      <w:pPr>
        <w:pStyle w:val="ListParagraph"/>
        <w:numPr>
          <w:ilvl w:val="0"/>
          <w:numId w:val="7"/>
        </w:numPr>
        <w:spacing w:line="480" w:lineRule="auto"/>
        <w:ind w:left="357" w:hanging="357"/>
        <w:rPr>
          <w:rFonts w:ascii="Arial Nova" w:hAnsi="Arial Nova"/>
          <w:sz w:val="22"/>
          <w:szCs w:val="22"/>
        </w:rPr>
      </w:pPr>
      <w:r>
        <w:rPr>
          <w:rFonts w:ascii="Arial Nova" w:hAnsi="Arial Nova"/>
          <w:sz w:val="22"/>
          <w:szCs w:val="22"/>
        </w:rPr>
        <w:t>Add a section to the IG09 Information Incident Management protocol around unauthorised access to records</w:t>
      </w:r>
      <w:r w:rsidRPr="00D56630">
        <w:rPr>
          <w:noProof/>
          <w:sz w:val="22"/>
          <w:szCs w:val="22"/>
          <w:lang w:eastAsia="en-GB"/>
        </w:rPr>
        <w:drawing>
          <wp:inline distT="0" distB="0" distL="0" distR="0" wp14:anchorId="567EB9D2" wp14:editId="56AB7FEF">
            <wp:extent cx="133350" cy="152618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liponious-green-ti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32" cy="157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E94558" w14:textId="6133FC64" w:rsidR="00765DCD" w:rsidRPr="00964E80" w:rsidRDefault="00765DCD" w:rsidP="00765DCD">
      <w:pPr>
        <w:pStyle w:val="Heading2"/>
        <w:rPr>
          <w:sz w:val="28"/>
          <w:szCs w:val="28"/>
        </w:rPr>
      </w:pPr>
      <w:r w:rsidRPr="00964E80">
        <w:rPr>
          <w:sz w:val="28"/>
          <w:szCs w:val="28"/>
        </w:rPr>
        <w:t xml:space="preserve">What </w:t>
      </w:r>
      <w:r>
        <w:rPr>
          <w:sz w:val="28"/>
          <w:szCs w:val="28"/>
        </w:rPr>
        <w:t xml:space="preserve">should </w:t>
      </w:r>
      <w:r w:rsidR="00386D82">
        <w:rPr>
          <w:sz w:val="28"/>
          <w:szCs w:val="28"/>
        </w:rPr>
        <w:t>our practice</w:t>
      </w:r>
      <w:r>
        <w:rPr>
          <w:sz w:val="28"/>
          <w:szCs w:val="28"/>
        </w:rPr>
        <w:t xml:space="preserve"> </w:t>
      </w:r>
      <w:r w:rsidR="00386D82">
        <w:rPr>
          <w:sz w:val="28"/>
          <w:szCs w:val="28"/>
        </w:rPr>
        <w:t>do before the</w:t>
      </w:r>
      <w:r w:rsidRPr="00964E80">
        <w:rPr>
          <w:sz w:val="28"/>
          <w:szCs w:val="28"/>
        </w:rPr>
        <w:t xml:space="preserve"> next event?</w:t>
      </w:r>
    </w:p>
    <w:p w14:paraId="4D161AF5" w14:textId="33DD0090" w:rsidR="00765DCD" w:rsidRDefault="00765DCD" w:rsidP="00765DCD">
      <w:pPr>
        <w:pStyle w:val="ListParagraph"/>
        <w:numPr>
          <w:ilvl w:val="0"/>
          <w:numId w:val="7"/>
        </w:numPr>
        <w:spacing w:line="480" w:lineRule="auto"/>
        <w:ind w:left="357" w:hanging="357"/>
        <w:rPr>
          <w:rFonts w:ascii="Arial Nova" w:hAnsi="Arial Nova"/>
          <w:sz w:val="22"/>
          <w:szCs w:val="22"/>
        </w:rPr>
      </w:pPr>
      <w:r>
        <w:rPr>
          <w:rFonts w:ascii="Arial Nova" w:hAnsi="Arial Nova"/>
          <w:sz w:val="22"/>
          <w:szCs w:val="22"/>
        </w:rPr>
        <w:t xml:space="preserve">Undertaking regular access audits using the template provided by the DPO </w:t>
      </w:r>
      <w:hyperlink r:id="rId13" w:history="1">
        <w:r>
          <w:rPr>
            <w:rStyle w:val="Hyperlink"/>
            <w:rFonts w:ascii="Arial Nova" w:hAnsi="Arial Nova"/>
            <w:sz w:val="22"/>
            <w:szCs w:val="22"/>
          </w:rPr>
          <w:t>Access Audit Template Here</w:t>
        </w:r>
      </w:hyperlink>
    </w:p>
    <w:p w14:paraId="7FC481DC" w14:textId="4587DA6B" w:rsidR="00765DCD" w:rsidRPr="00D56630" w:rsidRDefault="00765DCD" w:rsidP="00765DCD">
      <w:pPr>
        <w:pStyle w:val="ListParagraph"/>
        <w:numPr>
          <w:ilvl w:val="0"/>
          <w:numId w:val="7"/>
        </w:numPr>
        <w:spacing w:line="480" w:lineRule="auto"/>
        <w:ind w:left="357" w:hanging="357"/>
        <w:rPr>
          <w:rFonts w:ascii="Arial Nova" w:hAnsi="Arial Nova"/>
          <w:sz w:val="22"/>
          <w:szCs w:val="22"/>
        </w:rPr>
      </w:pPr>
      <w:r>
        <w:rPr>
          <w:rFonts w:ascii="Arial Nova" w:hAnsi="Arial Nova"/>
          <w:sz w:val="22"/>
          <w:szCs w:val="22"/>
        </w:rPr>
        <w:t xml:space="preserve">Responding to email instructions related to </w:t>
      </w:r>
      <w:r w:rsidR="00BE43A2">
        <w:rPr>
          <w:rFonts w:ascii="Arial Nova" w:hAnsi="Arial Nova"/>
          <w:sz w:val="22"/>
          <w:szCs w:val="22"/>
        </w:rPr>
        <w:t>amendment</w:t>
      </w:r>
      <w:r>
        <w:rPr>
          <w:rFonts w:ascii="Arial Nova" w:hAnsi="Arial Nova"/>
          <w:sz w:val="22"/>
          <w:szCs w:val="22"/>
        </w:rPr>
        <w:t xml:space="preserve"> of transparency materials (DPO to send)</w:t>
      </w:r>
    </w:p>
    <w:p w14:paraId="19909C5C" w14:textId="07D31DA1" w:rsidR="009C095E" w:rsidRDefault="00765DCD" w:rsidP="00765DCD">
      <w:pPr>
        <w:pStyle w:val="ListParagraph"/>
        <w:numPr>
          <w:ilvl w:val="0"/>
          <w:numId w:val="7"/>
        </w:numPr>
        <w:spacing w:line="480" w:lineRule="auto"/>
        <w:ind w:left="357" w:hanging="357"/>
        <w:rPr>
          <w:rFonts w:ascii="Arial Nova" w:hAnsi="Arial Nova"/>
          <w:sz w:val="22"/>
          <w:szCs w:val="22"/>
        </w:rPr>
      </w:pPr>
      <w:r>
        <w:rPr>
          <w:rFonts w:ascii="Arial Nova" w:hAnsi="Arial Nova"/>
          <w:sz w:val="22"/>
          <w:szCs w:val="22"/>
        </w:rPr>
        <w:t>Ensuring staff have access to updated protocols</w:t>
      </w:r>
    </w:p>
    <w:p w14:paraId="49246C66" w14:textId="6E4E1A4F" w:rsidR="00BE43A2" w:rsidRDefault="00BE43A2" w:rsidP="00765DCD">
      <w:pPr>
        <w:pStyle w:val="ListParagraph"/>
        <w:numPr>
          <w:ilvl w:val="0"/>
          <w:numId w:val="7"/>
        </w:numPr>
        <w:spacing w:line="480" w:lineRule="auto"/>
        <w:ind w:left="357" w:hanging="357"/>
        <w:rPr>
          <w:rFonts w:ascii="Arial Nova" w:hAnsi="Arial Nova"/>
          <w:sz w:val="22"/>
          <w:szCs w:val="22"/>
        </w:rPr>
      </w:pPr>
      <w:r>
        <w:rPr>
          <w:rFonts w:ascii="Arial Nova" w:hAnsi="Arial Nova"/>
          <w:sz w:val="22"/>
          <w:szCs w:val="22"/>
        </w:rPr>
        <w:t>Complete any actions sent by Hannah as a result of the Data Security Compliance Audit</w:t>
      </w:r>
    </w:p>
    <w:p w14:paraId="455445C1" w14:textId="0CF6C71B" w:rsidR="00BE43A2" w:rsidRDefault="00BE43A2" w:rsidP="00765DCD">
      <w:pPr>
        <w:pStyle w:val="ListParagraph"/>
        <w:numPr>
          <w:ilvl w:val="0"/>
          <w:numId w:val="7"/>
        </w:numPr>
        <w:spacing w:line="480" w:lineRule="auto"/>
        <w:ind w:left="357" w:hanging="357"/>
        <w:rPr>
          <w:rFonts w:ascii="Arial Nova" w:hAnsi="Arial Nova"/>
          <w:sz w:val="22"/>
          <w:szCs w:val="22"/>
        </w:rPr>
      </w:pPr>
      <w:r>
        <w:rPr>
          <w:rFonts w:ascii="Arial Nova" w:hAnsi="Arial Nova"/>
          <w:sz w:val="22"/>
          <w:szCs w:val="22"/>
        </w:rPr>
        <w:t xml:space="preserve">Undertake a records management review </w:t>
      </w:r>
      <w:hyperlink r:id="rId14" w:history="1">
        <w:r>
          <w:rPr>
            <w:rStyle w:val="Hyperlink"/>
            <w:rFonts w:ascii="Arial Nova" w:hAnsi="Arial Nova"/>
            <w:sz w:val="22"/>
            <w:szCs w:val="22"/>
          </w:rPr>
          <w:t>HERE</w:t>
        </w:r>
      </w:hyperlink>
    </w:p>
    <w:p w14:paraId="72411B24" w14:textId="5D3B7AB9" w:rsidR="00573558" w:rsidRPr="00765DCD" w:rsidRDefault="00573558" w:rsidP="00765DCD">
      <w:pPr>
        <w:pStyle w:val="ListParagraph"/>
        <w:numPr>
          <w:ilvl w:val="0"/>
          <w:numId w:val="7"/>
        </w:numPr>
        <w:spacing w:line="480" w:lineRule="auto"/>
        <w:ind w:left="357" w:hanging="357"/>
        <w:rPr>
          <w:rFonts w:ascii="Arial Nova" w:hAnsi="Arial Nova"/>
          <w:sz w:val="22"/>
          <w:szCs w:val="22"/>
        </w:rPr>
      </w:pPr>
      <w:r>
        <w:rPr>
          <w:rFonts w:ascii="Arial Nova" w:hAnsi="Arial Nova"/>
          <w:sz w:val="22"/>
          <w:szCs w:val="22"/>
        </w:rPr>
        <w:t>Escalate risks identified above to SIRO and complete the identified actions</w:t>
      </w:r>
    </w:p>
    <w:p w14:paraId="2D5D0C93" w14:textId="2AFCE1EC" w:rsidR="00C6315F" w:rsidRPr="00964E80" w:rsidRDefault="00964E80" w:rsidP="00C6315F">
      <w:pPr>
        <w:pStyle w:val="Heading2"/>
        <w:rPr>
          <w:sz w:val="28"/>
          <w:szCs w:val="28"/>
        </w:rPr>
      </w:pPr>
      <w:r>
        <w:rPr>
          <w:sz w:val="28"/>
          <w:szCs w:val="28"/>
        </w:rPr>
        <w:t xml:space="preserve">incident </w:t>
      </w:r>
      <w:r w:rsidR="00C6315F" w:rsidRPr="00964E80">
        <w:rPr>
          <w:sz w:val="28"/>
          <w:szCs w:val="28"/>
        </w:rPr>
        <w:t>Learning</w:t>
      </w:r>
    </w:p>
    <w:p w14:paraId="4530495B" w14:textId="4EB0E7B2" w:rsidR="006B3A33" w:rsidRPr="00D56630" w:rsidRDefault="006B3A33" w:rsidP="006B3A33">
      <w:pPr>
        <w:rPr>
          <w:rFonts w:ascii="Arial Nova" w:hAnsi="Arial Nova"/>
          <w:sz w:val="22"/>
          <w:szCs w:val="22"/>
        </w:rPr>
      </w:pPr>
      <w:r w:rsidRPr="00D56630">
        <w:rPr>
          <w:rFonts w:ascii="Arial Nova" w:hAnsi="Arial Nova"/>
          <w:sz w:val="22"/>
          <w:szCs w:val="22"/>
        </w:rPr>
        <w:t xml:space="preserve">Here is a </w:t>
      </w:r>
      <w:r w:rsidR="00386D82" w:rsidRPr="00D56630">
        <w:rPr>
          <w:rFonts w:ascii="Arial Nova" w:hAnsi="Arial Nova"/>
          <w:sz w:val="22"/>
          <w:szCs w:val="22"/>
        </w:rPr>
        <w:t>roundup</w:t>
      </w:r>
      <w:r w:rsidRPr="00D56630">
        <w:rPr>
          <w:rFonts w:ascii="Arial Nova" w:hAnsi="Arial Nova"/>
          <w:sz w:val="22"/>
          <w:szCs w:val="22"/>
        </w:rPr>
        <w:t xml:space="preserve"> of </w:t>
      </w:r>
      <w:r w:rsidR="00D56630" w:rsidRPr="00D56630">
        <w:rPr>
          <w:rFonts w:ascii="Arial Nova" w:hAnsi="Arial Nova"/>
          <w:sz w:val="22"/>
          <w:szCs w:val="22"/>
        </w:rPr>
        <w:t xml:space="preserve">learning from </w:t>
      </w:r>
      <w:r w:rsidR="007D53D5">
        <w:rPr>
          <w:rFonts w:ascii="Arial Nova" w:hAnsi="Arial Nova"/>
          <w:sz w:val="22"/>
          <w:szCs w:val="22"/>
        </w:rPr>
        <w:t xml:space="preserve">this and previous quarters from </w:t>
      </w:r>
      <w:r w:rsidR="00D56630" w:rsidRPr="00D56630">
        <w:rPr>
          <w:rFonts w:ascii="Arial Nova" w:hAnsi="Arial Nova"/>
          <w:sz w:val="22"/>
          <w:szCs w:val="22"/>
        </w:rPr>
        <w:t xml:space="preserve">actual incidents across </w:t>
      </w:r>
      <w:r w:rsidRPr="00D56630">
        <w:rPr>
          <w:rFonts w:ascii="Arial Nova" w:hAnsi="Arial Nova"/>
          <w:sz w:val="22"/>
          <w:szCs w:val="22"/>
        </w:rPr>
        <w:t>the cluster;</w:t>
      </w:r>
    </w:p>
    <w:p w14:paraId="099EDA54" w14:textId="563D51A6" w:rsidR="00964E80" w:rsidRPr="00D56630" w:rsidRDefault="0083159C" w:rsidP="006B3A33">
      <w:pPr>
        <w:pStyle w:val="ListParagraph"/>
        <w:numPr>
          <w:ilvl w:val="0"/>
          <w:numId w:val="8"/>
        </w:numPr>
        <w:rPr>
          <w:rFonts w:ascii="Arial Nova" w:hAnsi="Arial Nova"/>
          <w:sz w:val="22"/>
          <w:szCs w:val="22"/>
        </w:rPr>
      </w:pPr>
      <w:r w:rsidRPr="00D56630">
        <w:rPr>
          <w:rFonts w:ascii="Arial Nova" w:hAnsi="Arial Nova"/>
          <w:sz w:val="22"/>
          <w:szCs w:val="22"/>
        </w:rPr>
        <w:lastRenderedPageBreak/>
        <w:t xml:space="preserve">Ensure that any old forms / templates </w:t>
      </w:r>
      <w:r w:rsidR="006B3A33" w:rsidRPr="00D56630">
        <w:rPr>
          <w:rFonts w:ascii="Arial Nova" w:hAnsi="Arial Nova"/>
          <w:sz w:val="22"/>
          <w:szCs w:val="22"/>
        </w:rPr>
        <w:t xml:space="preserve">/ pro </w:t>
      </w:r>
      <w:proofErr w:type="spellStart"/>
      <w:r w:rsidR="006B3A33" w:rsidRPr="00D56630">
        <w:rPr>
          <w:rFonts w:ascii="Arial Nova" w:hAnsi="Arial Nova"/>
          <w:sz w:val="22"/>
          <w:szCs w:val="22"/>
        </w:rPr>
        <w:t>formas</w:t>
      </w:r>
      <w:proofErr w:type="spellEnd"/>
      <w:r w:rsidR="006B3A33" w:rsidRPr="00D56630">
        <w:rPr>
          <w:rFonts w:ascii="Arial Nova" w:hAnsi="Arial Nova"/>
          <w:sz w:val="22"/>
          <w:szCs w:val="22"/>
        </w:rPr>
        <w:t xml:space="preserve"> </w:t>
      </w:r>
      <w:r w:rsidRPr="00D56630">
        <w:rPr>
          <w:rFonts w:ascii="Arial Nova" w:hAnsi="Arial Nova"/>
          <w:sz w:val="22"/>
          <w:szCs w:val="22"/>
        </w:rPr>
        <w:t xml:space="preserve">are removed </w:t>
      </w:r>
      <w:r w:rsidR="006B3A33" w:rsidRPr="00D56630">
        <w:rPr>
          <w:rFonts w:ascii="Arial Nova" w:hAnsi="Arial Nova"/>
          <w:sz w:val="22"/>
          <w:szCs w:val="22"/>
        </w:rPr>
        <w:t>from site and from computers.</w:t>
      </w:r>
      <w:r w:rsidRPr="00D56630">
        <w:rPr>
          <w:rFonts w:ascii="Arial Nova" w:hAnsi="Arial Nova"/>
          <w:sz w:val="22"/>
          <w:szCs w:val="22"/>
        </w:rPr>
        <w:t xml:space="preserve"> </w:t>
      </w:r>
      <w:r w:rsidR="006B3A33" w:rsidRPr="00D56630">
        <w:rPr>
          <w:rFonts w:ascii="Arial Nova" w:hAnsi="Arial Nova"/>
          <w:sz w:val="22"/>
          <w:szCs w:val="22"/>
        </w:rPr>
        <w:t>These sometimes have a footer that say “once complete, send this form to</w:t>
      </w:r>
      <w:proofErr w:type="gramStart"/>
      <w:r w:rsidR="006B3A33" w:rsidRPr="00D56630">
        <w:rPr>
          <w:rFonts w:ascii="Arial Nova" w:hAnsi="Arial Nova"/>
          <w:sz w:val="22"/>
          <w:szCs w:val="22"/>
        </w:rPr>
        <w:t>…..</w:t>
      </w:r>
      <w:proofErr w:type="gramEnd"/>
      <w:r w:rsidR="006B3A33" w:rsidRPr="00D56630">
        <w:rPr>
          <w:rFonts w:ascii="Arial Nova" w:hAnsi="Arial Nova"/>
          <w:sz w:val="22"/>
          <w:szCs w:val="22"/>
        </w:rPr>
        <w:t xml:space="preserve">” </w:t>
      </w:r>
      <w:r w:rsidRPr="00D56630">
        <w:rPr>
          <w:rFonts w:ascii="Arial Nova" w:hAnsi="Arial Nova"/>
          <w:sz w:val="22"/>
          <w:szCs w:val="22"/>
        </w:rPr>
        <w:t>This can result in personal data being sent to addresses that no longer exist and being opened by Royal Mail</w:t>
      </w:r>
    </w:p>
    <w:p w14:paraId="69969793" w14:textId="77777777" w:rsidR="006B3A33" w:rsidRPr="00D56630" w:rsidRDefault="006B3A33" w:rsidP="006B3A33">
      <w:pPr>
        <w:pStyle w:val="ListParagraph"/>
        <w:ind w:left="360"/>
        <w:rPr>
          <w:rFonts w:ascii="Arial Nova" w:hAnsi="Arial Nova"/>
          <w:sz w:val="22"/>
          <w:szCs w:val="22"/>
        </w:rPr>
      </w:pPr>
    </w:p>
    <w:p w14:paraId="1818EFBE" w14:textId="24EC6372" w:rsidR="0083159C" w:rsidRPr="00D56630" w:rsidRDefault="0083159C" w:rsidP="006B3A33">
      <w:pPr>
        <w:pStyle w:val="ListParagraph"/>
        <w:numPr>
          <w:ilvl w:val="0"/>
          <w:numId w:val="8"/>
        </w:numPr>
        <w:rPr>
          <w:rFonts w:ascii="Arial Nova" w:hAnsi="Arial Nova"/>
          <w:sz w:val="22"/>
          <w:szCs w:val="22"/>
        </w:rPr>
      </w:pPr>
      <w:r w:rsidRPr="00D56630">
        <w:rPr>
          <w:rFonts w:ascii="Arial Nova" w:hAnsi="Arial Nova"/>
          <w:sz w:val="22"/>
          <w:szCs w:val="22"/>
        </w:rPr>
        <w:t>Ensure that</w:t>
      </w:r>
      <w:r w:rsidR="006B3A33" w:rsidRPr="00D56630">
        <w:rPr>
          <w:rFonts w:ascii="Arial Nova" w:hAnsi="Arial Nova"/>
          <w:sz w:val="22"/>
          <w:szCs w:val="22"/>
        </w:rPr>
        <w:t xml:space="preserve"> postal</w:t>
      </w:r>
      <w:r w:rsidRPr="00D56630">
        <w:rPr>
          <w:rFonts w:ascii="Arial Nova" w:hAnsi="Arial Nova"/>
          <w:sz w:val="22"/>
          <w:szCs w:val="22"/>
        </w:rPr>
        <w:t xml:space="preserve"> addresses are </w:t>
      </w:r>
      <w:r w:rsidR="006B3A33" w:rsidRPr="00D56630">
        <w:rPr>
          <w:rFonts w:ascii="Arial Nova" w:hAnsi="Arial Nova"/>
          <w:sz w:val="22"/>
          <w:szCs w:val="22"/>
        </w:rPr>
        <w:t>redacted</w:t>
      </w:r>
      <w:r w:rsidRPr="00D56630">
        <w:rPr>
          <w:rFonts w:ascii="Arial Nova" w:hAnsi="Arial Nova"/>
          <w:sz w:val="22"/>
          <w:szCs w:val="22"/>
        </w:rPr>
        <w:t xml:space="preserve"> from</w:t>
      </w:r>
      <w:r w:rsidR="006B3A33" w:rsidRPr="00D56630">
        <w:rPr>
          <w:rFonts w:ascii="Arial Nova" w:hAnsi="Arial Nova"/>
          <w:sz w:val="22"/>
          <w:szCs w:val="22"/>
        </w:rPr>
        <w:t xml:space="preserve"> records before being released as a</w:t>
      </w:r>
      <w:r w:rsidRPr="00D56630">
        <w:rPr>
          <w:rFonts w:ascii="Arial Nova" w:hAnsi="Arial Nova"/>
          <w:sz w:val="22"/>
          <w:szCs w:val="22"/>
        </w:rPr>
        <w:t xml:space="preserve"> SAR</w:t>
      </w:r>
      <w:r w:rsidR="006B3A33" w:rsidRPr="00D56630">
        <w:rPr>
          <w:rFonts w:ascii="Arial Nova" w:hAnsi="Arial Nova"/>
          <w:sz w:val="22"/>
          <w:szCs w:val="22"/>
        </w:rPr>
        <w:t>. This counts as personal data related to a third party and may relate to some one who does not want their address known. Such as an ex-partner.</w:t>
      </w:r>
    </w:p>
    <w:p w14:paraId="6ACD2A56" w14:textId="77777777" w:rsidR="006B3A33" w:rsidRPr="00D56630" w:rsidRDefault="006B3A33" w:rsidP="006B3A33">
      <w:pPr>
        <w:pStyle w:val="ListParagraph"/>
        <w:rPr>
          <w:rFonts w:ascii="Arial Nova" w:hAnsi="Arial Nova"/>
          <w:sz w:val="22"/>
          <w:szCs w:val="22"/>
        </w:rPr>
      </w:pPr>
    </w:p>
    <w:p w14:paraId="67C77B2C" w14:textId="79E4525B" w:rsidR="006B3A33" w:rsidRPr="00D56630" w:rsidRDefault="006B3A33" w:rsidP="006B3A33">
      <w:pPr>
        <w:pStyle w:val="ListParagraph"/>
        <w:numPr>
          <w:ilvl w:val="0"/>
          <w:numId w:val="8"/>
        </w:numPr>
        <w:rPr>
          <w:rFonts w:ascii="Arial Nova" w:hAnsi="Arial Nova"/>
          <w:sz w:val="22"/>
          <w:szCs w:val="22"/>
        </w:rPr>
      </w:pPr>
      <w:r w:rsidRPr="00D56630">
        <w:rPr>
          <w:rFonts w:ascii="Arial Nova" w:hAnsi="Arial Nova"/>
          <w:sz w:val="22"/>
          <w:szCs w:val="22"/>
        </w:rPr>
        <w:t xml:space="preserve">Lots of incidents where people have the same surname. Cross check </w:t>
      </w:r>
      <w:r w:rsidRPr="00D56630">
        <w:rPr>
          <w:rFonts w:ascii="Arial Nova" w:hAnsi="Arial Nova"/>
          <w:sz w:val="22"/>
          <w:szCs w:val="22"/>
          <w:u w:val="single"/>
        </w:rPr>
        <w:t>other</w:t>
      </w:r>
      <w:r w:rsidRPr="00D56630">
        <w:rPr>
          <w:rFonts w:ascii="Arial Nova" w:hAnsi="Arial Nova"/>
          <w:sz w:val="22"/>
          <w:szCs w:val="22"/>
        </w:rPr>
        <w:t xml:space="preserve"> elements of the record before releasing information.</w:t>
      </w:r>
    </w:p>
    <w:p w14:paraId="4E3B3B52" w14:textId="77777777" w:rsidR="006B3A33" w:rsidRPr="00D56630" w:rsidRDefault="006B3A33" w:rsidP="006B3A33">
      <w:pPr>
        <w:pStyle w:val="ListParagraph"/>
        <w:rPr>
          <w:rFonts w:ascii="Arial Nova" w:hAnsi="Arial Nova"/>
          <w:sz w:val="22"/>
          <w:szCs w:val="22"/>
        </w:rPr>
      </w:pPr>
    </w:p>
    <w:p w14:paraId="00B581A5" w14:textId="44D2D912" w:rsidR="006B3A33" w:rsidRPr="00D56630" w:rsidRDefault="006B3A33" w:rsidP="006B3A33">
      <w:pPr>
        <w:pStyle w:val="ListParagraph"/>
        <w:numPr>
          <w:ilvl w:val="0"/>
          <w:numId w:val="8"/>
        </w:numPr>
        <w:rPr>
          <w:rFonts w:ascii="Arial Nova" w:hAnsi="Arial Nova"/>
          <w:sz w:val="22"/>
          <w:szCs w:val="22"/>
        </w:rPr>
      </w:pPr>
      <w:r w:rsidRPr="00D56630">
        <w:rPr>
          <w:rFonts w:ascii="Arial Nova" w:hAnsi="Arial Nova"/>
          <w:sz w:val="22"/>
          <w:szCs w:val="22"/>
        </w:rPr>
        <w:t xml:space="preserve">When a staff member leaves their job and their </w:t>
      </w:r>
      <w:r w:rsidR="00D56630">
        <w:rPr>
          <w:rFonts w:ascii="Arial Nova" w:hAnsi="Arial Nova"/>
          <w:sz w:val="22"/>
          <w:szCs w:val="22"/>
        </w:rPr>
        <w:t xml:space="preserve">email </w:t>
      </w:r>
      <w:r w:rsidRPr="00D56630">
        <w:rPr>
          <w:rFonts w:ascii="Arial Nova" w:hAnsi="Arial Nova"/>
          <w:sz w:val="22"/>
          <w:szCs w:val="22"/>
        </w:rPr>
        <w:t xml:space="preserve">access is removed by the CSU, </w:t>
      </w:r>
      <w:r w:rsidR="00D56630">
        <w:rPr>
          <w:rFonts w:ascii="Arial Nova" w:hAnsi="Arial Nova"/>
          <w:sz w:val="22"/>
          <w:szCs w:val="22"/>
        </w:rPr>
        <w:t xml:space="preserve">check they cannot </w:t>
      </w:r>
      <w:r w:rsidRPr="00D56630">
        <w:rPr>
          <w:rFonts w:ascii="Arial Nova" w:hAnsi="Arial Nova"/>
          <w:sz w:val="22"/>
          <w:szCs w:val="22"/>
        </w:rPr>
        <w:t>use the “forgotten password” function to regain access</w:t>
      </w:r>
      <w:r w:rsidR="00D56630">
        <w:rPr>
          <w:rFonts w:ascii="Arial Nova" w:hAnsi="Arial Nova"/>
          <w:sz w:val="22"/>
          <w:szCs w:val="22"/>
        </w:rPr>
        <w:t xml:space="preserve"> remotely</w:t>
      </w:r>
      <w:r w:rsidRPr="00D56630">
        <w:rPr>
          <w:rFonts w:ascii="Arial Nova" w:hAnsi="Arial Nova"/>
          <w:sz w:val="22"/>
          <w:szCs w:val="22"/>
        </w:rPr>
        <w:t xml:space="preserve">. This appears to be a loop hole that the CSU had not </w:t>
      </w:r>
      <w:r w:rsidR="00D56630" w:rsidRPr="00D56630">
        <w:rPr>
          <w:rFonts w:ascii="Arial Nova" w:hAnsi="Arial Nova"/>
          <w:sz w:val="22"/>
          <w:szCs w:val="22"/>
        </w:rPr>
        <w:t xml:space="preserve">previously </w:t>
      </w:r>
      <w:r w:rsidRPr="00D56630">
        <w:rPr>
          <w:rFonts w:ascii="Arial Nova" w:hAnsi="Arial Nova"/>
          <w:sz w:val="22"/>
          <w:szCs w:val="22"/>
        </w:rPr>
        <w:t>considered.</w:t>
      </w:r>
    </w:p>
    <w:p w14:paraId="685B474D" w14:textId="77777777" w:rsidR="006B3A33" w:rsidRPr="00D56630" w:rsidRDefault="006B3A33" w:rsidP="006B3A33">
      <w:pPr>
        <w:pStyle w:val="ListParagraph"/>
        <w:rPr>
          <w:rFonts w:ascii="Arial Nova" w:hAnsi="Arial Nova"/>
          <w:sz w:val="22"/>
          <w:szCs w:val="22"/>
        </w:rPr>
      </w:pPr>
    </w:p>
    <w:p w14:paraId="179FCBD4" w14:textId="6740DCDD" w:rsidR="006B3A33" w:rsidRPr="00D56630" w:rsidRDefault="006B3A33" w:rsidP="006B3A33">
      <w:pPr>
        <w:pStyle w:val="ListParagraph"/>
        <w:numPr>
          <w:ilvl w:val="0"/>
          <w:numId w:val="8"/>
        </w:numPr>
        <w:rPr>
          <w:rFonts w:ascii="Arial Nova" w:hAnsi="Arial Nova"/>
          <w:sz w:val="22"/>
          <w:szCs w:val="22"/>
        </w:rPr>
      </w:pPr>
      <w:r w:rsidRPr="00D56630">
        <w:rPr>
          <w:rFonts w:ascii="Arial Nova" w:hAnsi="Arial Nova"/>
          <w:sz w:val="22"/>
          <w:szCs w:val="22"/>
        </w:rPr>
        <w:t xml:space="preserve">If you </w:t>
      </w:r>
      <w:r w:rsidR="00D56630" w:rsidRPr="00D56630">
        <w:rPr>
          <w:rFonts w:ascii="Arial Nova" w:hAnsi="Arial Nova"/>
          <w:sz w:val="22"/>
          <w:szCs w:val="22"/>
        </w:rPr>
        <w:t>receive</w:t>
      </w:r>
      <w:r w:rsidRPr="00D56630">
        <w:rPr>
          <w:rFonts w:ascii="Arial Nova" w:hAnsi="Arial Nova"/>
          <w:sz w:val="22"/>
          <w:szCs w:val="22"/>
        </w:rPr>
        <w:t xml:space="preserve"> </w:t>
      </w:r>
      <w:r w:rsidR="00D56630" w:rsidRPr="00D56630">
        <w:rPr>
          <w:rFonts w:ascii="Arial Nova" w:hAnsi="Arial Nova"/>
          <w:sz w:val="22"/>
          <w:szCs w:val="22"/>
        </w:rPr>
        <w:t xml:space="preserve">report </w:t>
      </w:r>
      <w:r w:rsidRPr="00D56630">
        <w:rPr>
          <w:rFonts w:ascii="Arial Nova" w:hAnsi="Arial Nova"/>
          <w:sz w:val="22"/>
          <w:szCs w:val="22"/>
        </w:rPr>
        <w:t xml:space="preserve">requests for </w:t>
      </w:r>
      <w:r w:rsidR="00D56630" w:rsidRPr="00D56630">
        <w:rPr>
          <w:rFonts w:ascii="Arial Nova" w:hAnsi="Arial Nova"/>
          <w:sz w:val="22"/>
          <w:szCs w:val="22"/>
        </w:rPr>
        <w:t>using a third-party form</w:t>
      </w:r>
      <w:r w:rsidRPr="00D56630">
        <w:rPr>
          <w:rFonts w:ascii="Arial Nova" w:hAnsi="Arial Nova"/>
          <w:sz w:val="22"/>
          <w:szCs w:val="22"/>
        </w:rPr>
        <w:t xml:space="preserve">, check them carefully to see whether the patient has </w:t>
      </w:r>
      <w:r w:rsidR="00D56630" w:rsidRPr="00D56630">
        <w:rPr>
          <w:rFonts w:ascii="Arial Nova" w:hAnsi="Arial Nova"/>
          <w:sz w:val="22"/>
          <w:szCs w:val="22"/>
        </w:rPr>
        <w:t>ticked a box asking t</w:t>
      </w:r>
      <w:r w:rsidRPr="00D56630">
        <w:rPr>
          <w:rFonts w:ascii="Arial Nova" w:hAnsi="Arial Nova"/>
          <w:sz w:val="22"/>
          <w:szCs w:val="22"/>
        </w:rPr>
        <w:t xml:space="preserve">o </w:t>
      </w:r>
      <w:r w:rsidR="00D56630" w:rsidRPr="00D56630">
        <w:rPr>
          <w:rFonts w:ascii="Arial Nova" w:hAnsi="Arial Nova"/>
          <w:sz w:val="22"/>
          <w:szCs w:val="22"/>
        </w:rPr>
        <w:t>view</w:t>
      </w:r>
      <w:r w:rsidRPr="00D56630">
        <w:rPr>
          <w:rFonts w:ascii="Arial Nova" w:hAnsi="Arial Nova"/>
          <w:sz w:val="22"/>
          <w:szCs w:val="22"/>
        </w:rPr>
        <w:t xml:space="preserve"> the report </w:t>
      </w:r>
      <w:r w:rsidRPr="00D56630">
        <w:rPr>
          <w:rFonts w:ascii="Arial Nova" w:hAnsi="Arial Nova"/>
          <w:b/>
          <w:i/>
          <w:sz w:val="22"/>
          <w:szCs w:val="22"/>
          <w:u w:val="single"/>
        </w:rPr>
        <w:t>before</w:t>
      </w:r>
      <w:r w:rsidRPr="00D56630">
        <w:rPr>
          <w:rFonts w:ascii="Arial Nova" w:hAnsi="Arial Nova"/>
          <w:sz w:val="22"/>
          <w:szCs w:val="22"/>
        </w:rPr>
        <w:t xml:space="preserve"> they go to the employer / claims company etc. This can be missed.</w:t>
      </w:r>
    </w:p>
    <w:p w14:paraId="5CCD5085" w14:textId="77777777" w:rsidR="006B3A33" w:rsidRPr="00D56630" w:rsidRDefault="006B3A33" w:rsidP="006B3A33">
      <w:pPr>
        <w:pStyle w:val="ListParagraph"/>
        <w:rPr>
          <w:rFonts w:ascii="Arial Nova" w:hAnsi="Arial Nova"/>
          <w:sz w:val="22"/>
          <w:szCs w:val="22"/>
        </w:rPr>
      </w:pPr>
    </w:p>
    <w:p w14:paraId="3E1C3FEE" w14:textId="52696793" w:rsidR="006B3A33" w:rsidRPr="00D56630" w:rsidRDefault="006B3A33" w:rsidP="006B3A33">
      <w:pPr>
        <w:pStyle w:val="ListParagraph"/>
        <w:numPr>
          <w:ilvl w:val="0"/>
          <w:numId w:val="8"/>
        </w:numPr>
        <w:rPr>
          <w:rFonts w:ascii="Arial Nova" w:hAnsi="Arial Nova"/>
          <w:sz w:val="22"/>
          <w:szCs w:val="22"/>
        </w:rPr>
      </w:pPr>
      <w:r w:rsidRPr="00D56630">
        <w:rPr>
          <w:rFonts w:ascii="Arial Nova" w:hAnsi="Arial Nova"/>
          <w:sz w:val="22"/>
          <w:szCs w:val="22"/>
        </w:rPr>
        <w:t xml:space="preserve">Do not use pre-set numbers in a fax machine (or better </w:t>
      </w:r>
      <w:r w:rsidR="003B08D6">
        <w:rPr>
          <w:rFonts w:ascii="Arial Nova" w:hAnsi="Arial Nova"/>
          <w:sz w:val="22"/>
          <w:szCs w:val="22"/>
        </w:rPr>
        <w:t xml:space="preserve">yet </w:t>
      </w:r>
      <w:r w:rsidRPr="00D56630">
        <w:rPr>
          <w:rFonts w:ascii="Arial Nova" w:hAnsi="Arial Nova"/>
          <w:sz w:val="22"/>
          <w:szCs w:val="22"/>
        </w:rPr>
        <w:t>do not use fax machines)</w:t>
      </w:r>
    </w:p>
    <w:p w14:paraId="4B275F88" w14:textId="77777777" w:rsidR="006B3A33" w:rsidRPr="00D56630" w:rsidRDefault="006B3A33" w:rsidP="006B3A33">
      <w:pPr>
        <w:pStyle w:val="ListParagraph"/>
        <w:rPr>
          <w:rFonts w:ascii="Arial Nova" w:hAnsi="Arial Nova"/>
          <w:sz w:val="22"/>
          <w:szCs w:val="22"/>
        </w:rPr>
      </w:pPr>
    </w:p>
    <w:p w14:paraId="61D1DD65" w14:textId="45649904" w:rsidR="006B3A33" w:rsidRDefault="006B3A33" w:rsidP="006B3A33">
      <w:pPr>
        <w:pStyle w:val="ListParagraph"/>
        <w:numPr>
          <w:ilvl w:val="0"/>
          <w:numId w:val="8"/>
        </w:numPr>
        <w:rPr>
          <w:rFonts w:ascii="Arial Nova" w:hAnsi="Arial Nova"/>
          <w:sz w:val="22"/>
          <w:szCs w:val="22"/>
        </w:rPr>
      </w:pPr>
      <w:r w:rsidRPr="00D56630">
        <w:rPr>
          <w:rFonts w:ascii="Arial Nova" w:hAnsi="Arial Nova"/>
          <w:sz w:val="22"/>
          <w:szCs w:val="22"/>
        </w:rPr>
        <w:t>Ensure that envelopes are robust. When they are heavy or very full – apply tape to prevent them coming open at sorting office.</w:t>
      </w:r>
    </w:p>
    <w:p w14:paraId="555A1E4A" w14:textId="77777777" w:rsidR="007D53D5" w:rsidRPr="007D53D5" w:rsidRDefault="007D53D5" w:rsidP="007D53D5">
      <w:pPr>
        <w:pStyle w:val="ListParagraph"/>
        <w:rPr>
          <w:rFonts w:ascii="Arial Nova" w:hAnsi="Arial Nova"/>
          <w:sz w:val="22"/>
          <w:szCs w:val="22"/>
        </w:rPr>
      </w:pPr>
    </w:p>
    <w:p w14:paraId="3F4F0406" w14:textId="11C647E9" w:rsidR="007D53D5" w:rsidRDefault="00352AC9" w:rsidP="006B3A33">
      <w:pPr>
        <w:pStyle w:val="ListParagraph"/>
        <w:numPr>
          <w:ilvl w:val="0"/>
          <w:numId w:val="8"/>
        </w:numPr>
        <w:rPr>
          <w:rFonts w:ascii="Arial Nova" w:hAnsi="Arial Nova"/>
          <w:sz w:val="22"/>
          <w:szCs w:val="22"/>
        </w:rPr>
      </w:pPr>
      <w:r>
        <w:rPr>
          <w:rFonts w:ascii="Arial Nova" w:hAnsi="Arial Nova"/>
          <w:sz w:val="22"/>
          <w:szCs w:val="22"/>
        </w:rPr>
        <w:t>Double check to e</w:t>
      </w:r>
      <w:r w:rsidR="003B08D6" w:rsidRPr="003B08D6">
        <w:rPr>
          <w:rFonts w:ascii="Arial Nova" w:hAnsi="Arial Nova"/>
          <w:sz w:val="22"/>
          <w:szCs w:val="22"/>
        </w:rPr>
        <w:t>nsure emails are</w:t>
      </w:r>
      <w:r w:rsidR="003B08D6">
        <w:rPr>
          <w:rFonts w:ascii="Arial Nova" w:hAnsi="Arial Nova"/>
          <w:sz w:val="22"/>
          <w:szCs w:val="22"/>
        </w:rPr>
        <w:t xml:space="preserve"> being</w:t>
      </w:r>
      <w:r w:rsidR="003B08D6" w:rsidRPr="003B08D6">
        <w:rPr>
          <w:rFonts w:ascii="Arial Nova" w:hAnsi="Arial Nova"/>
          <w:sz w:val="22"/>
          <w:szCs w:val="22"/>
        </w:rPr>
        <w:t xml:space="preserve"> sent to the correct sharing partner</w:t>
      </w:r>
      <w:r>
        <w:rPr>
          <w:rFonts w:ascii="Arial Nova" w:hAnsi="Arial Nova"/>
          <w:sz w:val="22"/>
          <w:szCs w:val="22"/>
        </w:rPr>
        <w:t xml:space="preserve"> each time</w:t>
      </w:r>
    </w:p>
    <w:p w14:paraId="6927300C" w14:textId="77777777" w:rsidR="003B08D6" w:rsidRPr="003B08D6" w:rsidRDefault="003B08D6" w:rsidP="003B08D6">
      <w:pPr>
        <w:pStyle w:val="ListParagraph"/>
        <w:rPr>
          <w:rFonts w:ascii="Arial Nova" w:hAnsi="Arial Nova"/>
          <w:sz w:val="22"/>
          <w:szCs w:val="22"/>
        </w:rPr>
      </w:pPr>
    </w:p>
    <w:p w14:paraId="51313E13" w14:textId="6CB567DA" w:rsidR="003B08D6" w:rsidRDefault="003B08D6" w:rsidP="006B3A33">
      <w:pPr>
        <w:pStyle w:val="ListParagraph"/>
        <w:numPr>
          <w:ilvl w:val="0"/>
          <w:numId w:val="8"/>
        </w:numPr>
        <w:rPr>
          <w:rFonts w:ascii="Arial Nova" w:hAnsi="Arial Nova"/>
          <w:sz w:val="22"/>
          <w:szCs w:val="22"/>
        </w:rPr>
      </w:pPr>
      <w:r>
        <w:rPr>
          <w:rFonts w:ascii="Arial Nova" w:hAnsi="Arial Nova"/>
          <w:sz w:val="22"/>
          <w:szCs w:val="22"/>
        </w:rPr>
        <w:t>Take the time to check the coding being placed on a patients file is correct. Incorrect coding can lead to patients being offered / missing out on services available to them.</w:t>
      </w:r>
    </w:p>
    <w:p w14:paraId="61CE396A" w14:textId="77777777" w:rsidR="003B08D6" w:rsidRPr="003B08D6" w:rsidRDefault="003B08D6" w:rsidP="003B08D6">
      <w:pPr>
        <w:pStyle w:val="ListParagraph"/>
        <w:rPr>
          <w:rFonts w:ascii="Arial Nova" w:hAnsi="Arial Nova"/>
          <w:sz w:val="22"/>
          <w:szCs w:val="22"/>
        </w:rPr>
      </w:pPr>
    </w:p>
    <w:p w14:paraId="0B7BBCB0" w14:textId="462C698A" w:rsidR="009E53AC" w:rsidRDefault="003B08D6" w:rsidP="006B3A33">
      <w:pPr>
        <w:pStyle w:val="ListParagraph"/>
        <w:numPr>
          <w:ilvl w:val="0"/>
          <w:numId w:val="8"/>
        </w:numPr>
        <w:rPr>
          <w:rFonts w:ascii="Arial Nova" w:hAnsi="Arial Nova"/>
          <w:sz w:val="22"/>
          <w:szCs w:val="22"/>
        </w:rPr>
      </w:pPr>
      <w:r>
        <w:rPr>
          <w:rFonts w:ascii="Arial Nova" w:hAnsi="Arial Nova"/>
          <w:sz w:val="22"/>
          <w:szCs w:val="22"/>
        </w:rPr>
        <w:t xml:space="preserve">When printing documents, ensure you get them from the printer straight away and check they are </w:t>
      </w:r>
      <w:r w:rsidR="00352AC9">
        <w:rPr>
          <w:rFonts w:ascii="Arial Nova" w:hAnsi="Arial Nova"/>
          <w:sz w:val="22"/>
          <w:szCs w:val="22"/>
        </w:rPr>
        <w:t>1.</w:t>
      </w:r>
      <w:r>
        <w:rPr>
          <w:rFonts w:ascii="Arial Nova" w:hAnsi="Arial Nova"/>
          <w:sz w:val="22"/>
          <w:szCs w:val="22"/>
        </w:rPr>
        <w:t xml:space="preserve"> the documents you </w:t>
      </w:r>
      <w:r w:rsidR="009E53AC">
        <w:rPr>
          <w:rFonts w:ascii="Arial Nova" w:hAnsi="Arial Nova"/>
          <w:sz w:val="22"/>
          <w:szCs w:val="22"/>
        </w:rPr>
        <w:t xml:space="preserve">printed and </w:t>
      </w:r>
      <w:r w:rsidR="00352AC9">
        <w:rPr>
          <w:rFonts w:ascii="Arial Nova" w:hAnsi="Arial Nova"/>
          <w:sz w:val="22"/>
          <w:szCs w:val="22"/>
        </w:rPr>
        <w:t xml:space="preserve">2. Related to this </w:t>
      </w:r>
      <w:proofErr w:type="gramStart"/>
      <w:r w:rsidR="00352AC9">
        <w:rPr>
          <w:rFonts w:ascii="Arial Nova" w:hAnsi="Arial Nova"/>
          <w:sz w:val="22"/>
          <w:szCs w:val="22"/>
        </w:rPr>
        <w:t>particular</w:t>
      </w:r>
      <w:r w:rsidR="009E53AC">
        <w:rPr>
          <w:rFonts w:ascii="Arial Nova" w:hAnsi="Arial Nova"/>
          <w:sz w:val="22"/>
          <w:szCs w:val="22"/>
        </w:rPr>
        <w:t xml:space="preserve"> patient</w:t>
      </w:r>
      <w:proofErr w:type="gramEnd"/>
      <w:r w:rsidR="009E53AC">
        <w:rPr>
          <w:rFonts w:ascii="Arial Nova" w:hAnsi="Arial Nova"/>
          <w:sz w:val="22"/>
          <w:szCs w:val="22"/>
        </w:rPr>
        <w:t xml:space="preserve"> before handing them out.</w:t>
      </w:r>
    </w:p>
    <w:p w14:paraId="2502572C" w14:textId="77777777" w:rsidR="009E53AC" w:rsidRPr="009E53AC" w:rsidRDefault="009E53AC" w:rsidP="009E53AC">
      <w:pPr>
        <w:pStyle w:val="ListParagraph"/>
        <w:rPr>
          <w:rFonts w:ascii="Arial Nova" w:hAnsi="Arial Nova"/>
          <w:sz w:val="22"/>
          <w:szCs w:val="22"/>
        </w:rPr>
      </w:pPr>
    </w:p>
    <w:p w14:paraId="065E1166" w14:textId="11EC66BB" w:rsidR="003B08D6" w:rsidRPr="003B08D6" w:rsidRDefault="003B08D6" w:rsidP="006B3A33">
      <w:pPr>
        <w:pStyle w:val="ListParagraph"/>
        <w:numPr>
          <w:ilvl w:val="0"/>
          <w:numId w:val="8"/>
        </w:numPr>
        <w:rPr>
          <w:rFonts w:ascii="Arial Nova" w:hAnsi="Arial Nova"/>
          <w:sz w:val="22"/>
          <w:szCs w:val="22"/>
        </w:rPr>
      </w:pPr>
      <w:r>
        <w:rPr>
          <w:rFonts w:ascii="Arial Nova" w:hAnsi="Arial Nova"/>
          <w:sz w:val="22"/>
          <w:szCs w:val="22"/>
        </w:rPr>
        <w:t xml:space="preserve"> </w:t>
      </w:r>
      <w:r w:rsidR="009E53AC">
        <w:rPr>
          <w:rFonts w:ascii="Arial Nova" w:hAnsi="Arial Nova"/>
          <w:sz w:val="22"/>
          <w:szCs w:val="22"/>
        </w:rPr>
        <w:t xml:space="preserve">Ensure staff members only have the access they need for their particular role. Email access should be limited to only those who have to deal with them. </w:t>
      </w:r>
    </w:p>
    <w:p w14:paraId="65B82D34" w14:textId="5507648A" w:rsidR="00C6315F" w:rsidRPr="00D56630" w:rsidRDefault="00C6315F" w:rsidP="00C6315F">
      <w:pPr>
        <w:pStyle w:val="Heading2"/>
        <w:rPr>
          <w:sz w:val="28"/>
          <w:szCs w:val="28"/>
        </w:rPr>
      </w:pPr>
      <w:r w:rsidRPr="00D56630">
        <w:rPr>
          <w:sz w:val="28"/>
          <w:szCs w:val="28"/>
        </w:rPr>
        <w:t>What</w:t>
      </w:r>
      <w:r w:rsidR="00D56630">
        <w:rPr>
          <w:sz w:val="28"/>
          <w:szCs w:val="28"/>
        </w:rPr>
        <w:t>’s next?</w:t>
      </w:r>
    </w:p>
    <w:p w14:paraId="7118E3F3" w14:textId="6A4B81DB" w:rsidR="00C6315F" w:rsidRPr="00D56630" w:rsidRDefault="00D56630" w:rsidP="00F434D6">
      <w:pPr>
        <w:jc w:val="center"/>
        <w:rPr>
          <w:rFonts w:ascii="Arial Nova" w:hAnsi="Arial Nova"/>
          <w:sz w:val="22"/>
          <w:szCs w:val="22"/>
        </w:rPr>
      </w:pPr>
      <w:r w:rsidRPr="00D56630">
        <w:rPr>
          <w:rFonts w:ascii="Arial Nova" w:hAnsi="Arial Nova"/>
          <w:sz w:val="22"/>
          <w:szCs w:val="22"/>
        </w:rPr>
        <w:lastRenderedPageBreak/>
        <w:t>The next cluster event will cover</w:t>
      </w:r>
    </w:p>
    <w:p w14:paraId="5A66D25A" w14:textId="77777777" w:rsidR="00BE43A2" w:rsidRPr="00BE43A2" w:rsidRDefault="00BE43A2" w:rsidP="00BE43A2">
      <w:pPr>
        <w:jc w:val="center"/>
        <w:rPr>
          <w:rFonts w:ascii="Arial Nova" w:hAnsi="Arial Nova"/>
          <w:color w:val="4472C4" w:themeColor="accent1"/>
          <w:sz w:val="28"/>
          <w:szCs w:val="28"/>
        </w:rPr>
      </w:pPr>
      <w:r w:rsidRPr="00BE43A2">
        <w:rPr>
          <w:rFonts w:ascii="Arial Nova" w:hAnsi="Arial Nova"/>
          <w:color w:val="4472C4" w:themeColor="accent1"/>
          <w:sz w:val="28"/>
          <w:szCs w:val="28"/>
        </w:rPr>
        <w:t>Business Continuity and Disaster Recovery</w:t>
      </w:r>
    </w:p>
    <w:p w14:paraId="204E07EC" w14:textId="77777777" w:rsidR="00BE43A2" w:rsidRPr="00BE43A2" w:rsidRDefault="00BE43A2" w:rsidP="00BE43A2">
      <w:pPr>
        <w:jc w:val="center"/>
        <w:rPr>
          <w:rFonts w:ascii="Arial Nova" w:hAnsi="Arial Nova"/>
          <w:color w:val="4472C4" w:themeColor="accent1"/>
          <w:sz w:val="28"/>
          <w:szCs w:val="28"/>
        </w:rPr>
      </w:pPr>
      <w:r w:rsidRPr="00BE43A2">
        <w:rPr>
          <w:rFonts w:ascii="Arial Nova" w:hAnsi="Arial Nova"/>
          <w:color w:val="4472C4" w:themeColor="accent1"/>
          <w:sz w:val="28"/>
          <w:szCs w:val="28"/>
        </w:rPr>
        <w:t>Profiling and Auto Decision Making</w:t>
      </w:r>
    </w:p>
    <w:p w14:paraId="5F4CE1FB" w14:textId="77777777" w:rsidR="00BE43A2" w:rsidRPr="00BE43A2" w:rsidRDefault="00BE43A2" w:rsidP="00BE43A2">
      <w:pPr>
        <w:jc w:val="center"/>
        <w:rPr>
          <w:rFonts w:ascii="Arial Nova" w:hAnsi="Arial Nova"/>
          <w:color w:val="4472C4" w:themeColor="accent1"/>
          <w:sz w:val="28"/>
          <w:szCs w:val="28"/>
        </w:rPr>
      </w:pPr>
      <w:r w:rsidRPr="00BE43A2">
        <w:rPr>
          <w:rFonts w:ascii="Arial Nova" w:hAnsi="Arial Nova"/>
          <w:color w:val="4472C4" w:themeColor="accent1"/>
          <w:sz w:val="28"/>
          <w:szCs w:val="28"/>
        </w:rPr>
        <w:t>Children and Young People</w:t>
      </w:r>
    </w:p>
    <w:p w14:paraId="72D5B5C5" w14:textId="5414DDDA" w:rsidR="00C6315F" w:rsidRPr="00F434D6" w:rsidRDefault="00F434D6" w:rsidP="00F434D6">
      <w:pPr>
        <w:jc w:val="center"/>
        <w:rPr>
          <w:rFonts w:ascii="Arial Nova" w:hAnsi="Arial Nova"/>
          <w:sz w:val="22"/>
          <w:szCs w:val="22"/>
        </w:rPr>
      </w:pPr>
      <w:r w:rsidRPr="00F434D6">
        <w:rPr>
          <w:rFonts w:ascii="Arial Nova" w:hAnsi="Arial Nova"/>
          <w:sz w:val="22"/>
          <w:szCs w:val="22"/>
        </w:rPr>
        <w:t xml:space="preserve">See you in </w:t>
      </w:r>
      <w:r w:rsidR="00BE43A2">
        <w:rPr>
          <w:rFonts w:ascii="Arial Nova" w:hAnsi="Arial Nova"/>
          <w:sz w:val="22"/>
          <w:szCs w:val="22"/>
        </w:rPr>
        <w:t>April</w:t>
      </w:r>
      <w:r w:rsidRPr="00F434D6">
        <w:rPr>
          <w:rFonts w:ascii="Arial Nova" w:hAnsi="Arial Nova"/>
          <w:sz w:val="22"/>
          <w:szCs w:val="22"/>
        </w:rPr>
        <w:t>!</w:t>
      </w:r>
    </w:p>
    <w:sectPr w:rsidR="00C6315F" w:rsidRPr="00F434D6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D7AA1" w14:textId="77777777" w:rsidR="00440DDA" w:rsidRDefault="00440DDA" w:rsidP="00F434D6">
      <w:pPr>
        <w:spacing w:before="0" w:after="0" w:line="240" w:lineRule="auto"/>
      </w:pPr>
      <w:r>
        <w:separator/>
      </w:r>
    </w:p>
  </w:endnote>
  <w:endnote w:type="continuationSeparator" w:id="0">
    <w:p w14:paraId="13313C10" w14:textId="77777777" w:rsidR="00440DDA" w:rsidRDefault="00440DDA" w:rsidP="00F434D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10F6D" w14:textId="77777777" w:rsidR="00440DDA" w:rsidRDefault="00440DDA" w:rsidP="00F434D6">
      <w:pPr>
        <w:spacing w:before="0" w:after="0" w:line="240" w:lineRule="auto"/>
      </w:pPr>
      <w:r>
        <w:separator/>
      </w:r>
    </w:p>
  </w:footnote>
  <w:footnote w:type="continuationSeparator" w:id="0">
    <w:p w14:paraId="0CB83B4A" w14:textId="77777777" w:rsidR="00440DDA" w:rsidRDefault="00440DDA" w:rsidP="00F434D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12364" w14:textId="20264D4A" w:rsidR="00F434D6" w:rsidRDefault="00F434D6">
    <w:pPr>
      <w:pStyle w:val="Header"/>
    </w:pPr>
    <w:r>
      <w:rPr>
        <w:noProof/>
        <w:lang w:eastAsia="en-GB"/>
      </w:rPr>
      <w:drawing>
        <wp:inline distT="0" distB="0" distL="0" distR="0" wp14:anchorId="17928F7D" wp14:editId="16C0DCEF">
          <wp:extent cx="5731510" cy="1481455"/>
          <wp:effectExtent l="0" t="0" r="2540" b="444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humbnail_Kafico-logo-TRANSPARENT-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481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B59DEA" w14:textId="77777777" w:rsidR="00F434D6" w:rsidRDefault="00F434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0659D"/>
    <w:multiLevelType w:val="hybridMultilevel"/>
    <w:tmpl w:val="22B84066"/>
    <w:lvl w:ilvl="0" w:tplc="9634CDA8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A3CF0"/>
    <w:multiLevelType w:val="hybridMultilevel"/>
    <w:tmpl w:val="272AE8D6"/>
    <w:lvl w:ilvl="0" w:tplc="DCD8FC50">
      <w:start w:val="1"/>
      <w:numFmt w:val="bullet"/>
      <w:lvlText w:val="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D73EE8"/>
    <w:multiLevelType w:val="hybridMultilevel"/>
    <w:tmpl w:val="3954979C"/>
    <w:lvl w:ilvl="0" w:tplc="B77EF10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B42D0B"/>
    <w:multiLevelType w:val="hybridMultilevel"/>
    <w:tmpl w:val="8794DE06"/>
    <w:lvl w:ilvl="0" w:tplc="9634CDA8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001307"/>
    <w:multiLevelType w:val="hybridMultilevel"/>
    <w:tmpl w:val="32565EB4"/>
    <w:lvl w:ilvl="0" w:tplc="D4C2CEF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059CD"/>
    <w:multiLevelType w:val="hybridMultilevel"/>
    <w:tmpl w:val="985690A8"/>
    <w:lvl w:ilvl="0" w:tplc="9634CDA8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6B54A7"/>
    <w:multiLevelType w:val="hybridMultilevel"/>
    <w:tmpl w:val="A1AA9B32"/>
    <w:lvl w:ilvl="0" w:tplc="9634CDA8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7E2BB1"/>
    <w:multiLevelType w:val="hybridMultilevel"/>
    <w:tmpl w:val="B5806764"/>
    <w:lvl w:ilvl="0" w:tplc="B77EF10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124F59"/>
    <w:multiLevelType w:val="hybridMultilevel"/>
    <w:tmpl w:val="B5806764"/>
    <w:lvl w:ilvl="0" w:tplc="B77EF10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4FF"/>
    <w:rsid w:val="0005079D"/>
    <w:rsid w:val="00151EDF"/>
    <w:rsid w:val="00157017"/>
    <w:rsid w:val="00167872"/>
    <w:rsid w:val="001B26ED"/>
    <w:rsid w:val="00267130"/>
    <w:rsid w:val="003109CE"/>
    <w:rsid w:val="00352AC9"/>
    <w:rsid w:val="00386D82"/>
    <w:rsid w:val="00393042"/>
    <w:rsid w:val="003B08D6"/>
    <w:rsid w:val="00440DDA"/>
    <w:rsid w:val="00475584"/>
    <w:rsid w:val="004B74FF"/>
    <w:rsid w:val="005027D7"/>
    <w:rsid w:val="005639DB"/>
    <w:rsid w:val="00573558"/>
    <w:rsid w:val="005E3700"/>
    <w:rsid w:val="006B3A33"/>
    <w:rsid w:val="006D1DDD"/>
    <w:rsid w:val="007436F4"/>
    <w:rsid w:val="00765DCD"/>
    <w:rsid w:val="007B7AFE"/>
    <w:rsid w:val="007D53D5"/>
    <w:rsid w:val="0083159C"/>
    <w:rsid w:val="008B42DC"/>
    <w:rsid w:val="008C5066"/>
    <w:rsid w:val="00964E80"/>
    <w:rsid w:val="009C095E"/>
    <w:rsid w:val="009E4B5E"/>
    <w:rsid w:val="009E53AC"/>
    <w:rsid w:val="00A26DE0"/>
    <w:rsid w:val="00AA2972"/>
    <w:rsid w:val="00BB37A7"/>
    <w:rsid w:val="00BC2E24"/>
    <w:rsid w:val="00BE43A2"/>
    <w:rsid w:val="00C05979"/>
    <w:rsid w:val="00C13C6A"/>
    <w:rsid w:val="00C44ABA"/>
    <w:rsid w:val="00C6315F"/>
    <w:rsid w:val="00CD52A8"/>
    <w:rsid w:val="00D44389"/>
    <w:rsid w:val="00D56630"/>
    <w:rsid w:val="00DF0498"/>
    <w:rsid w:val="00E11CC0"/>
    <w:rsid w:val="00E60C6F"/>
    <w:rsid w:val="00EB1066"/>
    <w:rsid w:val="00EC60BF"/>
    <w:rsid w:val="00F434D6"/>
    <w:rsid w:val="00FB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94FA4"/>
  <w15:chartTrackingRefBased/>
  <w15:docId w15:val="{9ECBE228-2AC7-4C42-8019-085656483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15F"/>
  </w:style>
  <w:style w:type="paragraph" w:styleId="Heading1">
    <w:name w:val="heading 1"/>
    <w:basedOn w:val="Normal"/>
    <w:next w:val="Normal"/>
    <w:link w:val="Heading1Char"/>
    <w:uiPriority w:val="9"/>
    <w:qFormat/>
    <w:rsid w:val="00C6315F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315F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315F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315F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315F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315F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315F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315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315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315F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C6315F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315F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315F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315F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315F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315F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315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315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315F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6315F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315F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315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C6315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C6315F"/>
    <w:rPr>
      <w:b/>
      <w:bCs/>
    </w:rPr>
  </w:style>
  <w:style w:type="character" w:styleId="Emphasis">
    <w:name w:val="Emphasis"/>
    <w:uiPriority w:val="20"/>
    <w:qFormat/>
    <w:rsid w:val="00C6315F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C6315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6315F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6315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315F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315F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C6315F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C6315F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C6315F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C6315F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C6315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315F"/>
    <w:pPr>
      <w:outlineLvl w:val="9"/>
    </w:pPr>
  </w:style>
  <w:style w:type="paragraph" w:styleId="ListParagraph">
    <w:name w:val="List Paragraph"/>
    <w:basedOn w:val="Normal"/>
    <w:uiPriority w:val="34"/>
    <w:qFormat/>
    <w:rsid w:val="00E60C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787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787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6787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34D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4D6"/>
  </w:style>
  <w:style w:type="paragraph" w:styleId="Footer">
    <w:name w:val="footer"/>
    <w:basedOn w:val="Normal"/>
    <w:link w:val="FooterChar"/>
    <w:uiPriority w:val="99"/>
    <w:unhideWhenUsed/>
    <w:rsid w:val="00F434D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4D6"/>
  </w:style>
  <w:style w:type="character" w:styleId="UnresolvedMention">
    <w:name w:val="Unresolved Mention"/>
    <w:basedOn w:val="DefaultParagraphFont"/>
    <w:uiPriority w:val="99"/>
    <w:semiHidden/>
    <w:unhideWhenUsed/>
    <w:rsid w:val="00D443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fico.co.uk/policies-and-protocols" TargetMode="External"/><Relationship Id="rId13" Type="http://schemas.openxmlformats.org/officeDocument/2006/relationships/hyperlink" Target="https://1drv.ms/f/s!AjHx1anZWPVX7C27vrGH-r_HpNc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kafico.co.uk/policies-and-protocol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afico.co.uk/policies-and-protocol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kafico.co.uk/policies-and-protoco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afico.co.uk/copy-of-policies-and-protocols" TargetMode="External"/><Relationship Id="rId14" Type="http://schemas.openxmlformats.org/officeDocument/2006/relationships/hyperlink" Target="https://www.kafico.co.uk/policies-and-protocol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Cooper</dc:creator>
  <cp:keywords/>
  <dc:description/>
  <cp:lastModifiedBy>Emma Cooper</cp:lastModifiedBy>
  <cp:revision>4</cp:revision>
  <cp:lastPrinted>2018-11-21T09:48:00Z</cp:lastPrinted>
  <dcterms:created xsi:type="dcterms:W3CDTF">2019-02-07T16:59:00Z</dcterms:created>
  <dcterms:modified xsi:type="dcterms:W3CDTF">2019-12-06T10:51:00Z</dcterms:modified>
</cp:coreProperties>
</file>