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2170" w14:textId="7B5D73D8" w:rsidR="00F820AA" w:rsidRDefault="00971E63" w:rsidP="00306245">
      <w:pPr>
        <w:pStyle w:val="Heading2"/>
        <w:jc w:val="center"/>
        <w:rPr>
          <w:rStyle w:val="Hyperlink"/>
        </w:rPr>
      </w:pPr>
      <w:r>
        <w:rPr>
          <w:rStyle w:val="Hyperlink"/>
        </w:rPr>
        <w:t>North Norfolk MSK Service</w:t>
      </w:r>
      <w:r w:rsidR="008E28FD" w:rsidRPr="008E28FD">
        <w:rPr>
          <w:rStyle w:val="Hyperlink"/>
        </w:rPr>
        <w:t xml:space="preserve"> – </w:t>
      </w:r>
      <w:r w:rsidR="00815BA0">
        <w:rPr>
          <w:rStyle w:val="Hyperlink"/>
        </w:rPr>
        <w:t xml:space="preserve">Information Sharing Protocol </w:t>
      </w:r>
    </w:p>
    <w:p w14:paraId="59139199" w14:textId="5EC5722C" w:rsidR="008E28FD" w:rsidRDefault="008E28FD" w:rsidP="008E28FD"/>
    <w:p w14:paraId="72E5DED7" w14:textId="4600B2E1" w:rsidR="00E117CC" w:rsidRPr="00E117CC" w:rsidRDefault="0089537D" w:rsidP="00E117CC">
      <w:pPr>
        <w:rPr>
          <w:rFonts w:cs="Arial"/>
          <w:color w:val="000000"/>
          <w:szCs w:val="22"/>
          <w:lang w:eastAsia="en-GB"/>
        </w:rPr>
      </w:pPr>
      <w:r>
        <w:rPr>
          <w:rFonts w:cs="Arial"/>
          <w:color w:val="000000"/>
          <w:szCs w:val="22"/>
          <w:lang w:eastAsia="en-GB"/>
        </w:rPr>
        <w:t xml:space="preserve">The Norfolk and Waveney </w:t>
      </w:r>
      <w:r w:rsidR="00E117CC" w:rsidRPr="00E117CC">
        <w:rPr>
          <w:rFonts w:cs="Arial"/>
          <w:color w:val="000000"/>
          <w:szCs w:val="22"/>
          <w:lang w:eastAsia="en-GB"/>
        </w:rPr>
        <w:t>Health &amp; Social Care Information Sharing Agreement (ISA) is not a legally enforceable document or a contract. The overarching agreement identifies best practice for systematic data sharing of health and social care information between signatories and this Information Sharing Protocol sits beneath the ISA and intends to provide granular detail of specific sharing initiatives agreed to by the parties involved.</w:t>
      </w:r>
    </w:p>
    <w:p w14:paraId="77A2D0BE" w14:textId="77777777" w:rsidR="00E117CC" w:rsidRPr="00E117CC" w:rsidRDefault="00E117CC" w:rsidP="00E117CC">
      <w:pPr>
        <w:rPr>
          <w:rFonts w:cs="Arial"/>
          <w:color w:val="000000"/>
          <w:szCs w:val="22"/>
          <w:lang w:eastAsia="en-GB"/>
        </w:rPr>
      </w:pPr>
    </w:p>
    <w:p w14:paraId="57B9E8C9" w14:textId="3C2F05EE" w:rsidR="008E28FD" w:rsidRPr="008E28FD" w:rsidRDefault="00E117CC" w:rsidP="00E117CC">
      <w:r w:rsidRPr="00E117CC">
        <w:rPr>
          <w:rFonts w:cs="Arial"/>
          <w:color w:val="000000"/>
          <w:szCs w:val="22"/>
          <w:lang w:eastAsia="en-GB"/>
        </w:rPr>
        <w:t>The ISP is provided to all parties to support risk mitigation and to provide a consistent approach to managing data flows that are already routinely occurring.</w:t>
      </w:r>
    </w:p>
    <w:tbl>
      <w:tblPr>
        <w:tblW w:w="5000" w:type="pct"/>
        <w:tblLook w:val="04A0" w:firstRow="1" w:lastRow="0" w:firstColumn="1" w:lastColumn="0" w:noHBand="0" w:noVBand="1"/>
      </w:tblPr>
      <w:tblGrid>
        <w:gridCol w:w="427"/>
        <w:gridCol w:w="39"/>
        <w:gridCol w:w="3926"/>
        <w:gridCol w:w="311"/>
        <w:gridCol w:w="6612"/>
        <w:gridCol w:w="279"/>
        <w:gridCol w:w="3508"/>
        <w:gridCol w:w="296"/>
      </w:tblGrid>
      <w:tr w:rsidR="009074A8" w:rsidRPr="0049256C" w14:paraId="3E344A71" w14:textId="77777777" w:rsidTr="00B83221">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0125D0CB" w14:textId="77777777" w:rsidR="009074A8" w:rsidRPr="0049256C" w:rsidRDefault="009074A8" w:rsidP="00932538">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22C7AE53" w14:textId="77777777" w:rsidR="009074A8" w:rsidRPr="0049256C" w:rsidRDefault="009074A8" w:rsidP="00932538">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617770EE" w14:textId="77777777" w:rsidR="009074A8" w:rsidRPr="0049256C" w:rsidRDefault="009074A8" w:rsidP="00932538">
            <w:pPr>
              <w:spacing w:line="240" w:lineRule="auto"/>
              <w:jc w:val="center"/>
              <w:rPr>
                <w:rFonts w:cs="Calibri"/>
                <w:color w:val="000000"/>
                <w:szCs w:val="22"/>
                <w:lang w:eastAsia="en-GB"/>
              </w:rPr>
            </w:pPr>
            <w:r w:rsidRPr="0049256C">
              <w:rPr>
                <w:rFonts w:cs="Calibri"/>
                <w:color w:val="000000"/>
                <w:szCs w:val="22"/>
                <w:lang w:eastAsia="en-GB"/>
              </w:rPr>
              <w:t> </w:t>
            </w:r>
          </w:p>
        </w:tc>
      </w:tr>
      <w:tr w:rsidR="007E795B" w:rsidRPr="0049256C" w14:paraId="3A6F9E12" w14:textId="77777777" w:rsidTr="00B83221">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7718A977" w14:textId="5D91BEC1"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sidR="008E28FD">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082A20F6"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533F320A" w14:textId="58991A38" w:rsidR="00F820AA" w:rsidRPr="00FA5A29" w:rsidRDefault="00971E63" w:rsidP="00270524">
            <w:pPr>
              <w:spacing w:line="240" w:lineRule="auto"/>
              <w:rPr>
                <w:rFonts w:cs="Calibri"/>
                <w:bCs/>
                <w:color w:val="000000"/>
                <w:sz w:val="20"/>
                <w:szCs w:val="20"/>
                <w:lang w:eastAsia="en-GB"/>
              </w:rPr>
            </w:pPr>
            <w:r>
              <w:rPr>
                <w:rFonts w:cs="Calibri"/>
                <w:bCs/>
                <w:color w:val="000000"/>
                <w:sz w:val="20"/>
                <w:szCs w:val="20"/>
                <w:lang w:eastAsia="en-GB"/>
              </w:rPr>
              <w:t>North Norfolk MSK Service</w:t>
            </w:r>
          </w:p>
        </w:tc>
      </w:tr>
      <w:tr w:rsidR="006B2A35" w:rsidRPr="0049256C" w14:paraId="56352FAE" w14:textId="77777777" w:rsidTr="00B83221">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670FFCB7" w14:textId="77777777" w:rsidR="00F820AA" w:rsidRPr="0049256C" w:rsidRDefault="00F820AA" w:rsidP="00932538">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6B5EF310" w14:textId="77777777" w:rsidR="00F820AA" w:rsidRPr="0049256C" w:rsidRDefault="00F820AA" w:rsidP="00932538">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349F8CF2" w14:textId="77777777" w:rsidR="00F820AA" w:rsidRPr="0049256C" w:rsidRDefault="00F820AA" w:rsidP="00306245">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67EEFB8D" w14:textId="77777777" w:rsidR="00F820AA" w:rsidRPr="0049256C" w:rsidRDefault="00F820AA" w:rsidP="00932538">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020ED9" w:rsidRPr="0049256C" w14:paraId="144D3FF4" w14:textId="77777777" w:rsidTr="00B83221">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1730FC9"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4631693C"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537AE1" w14:textId="77777777" w:rsidR="00306245" w:rsidRDefault="00306245" w:rsidP="00306245">
            <w:pPr>
              <w:spacing w:line="240" w:lineRule="auto"/>
              <w:rPr>
                <w:rFonts w:cs="Calibri"/>
                <w:color w:val="000000"/>
                <w:sz w:val="20"/>
                <w:szCs w:val="20"/>
                <w:lang w:eastAsia="en-GB"/>
              </w:rPr>
            </w:pPr>
          </w:p>
          <w:p w14:paraId="1E4FCB0E" w14:textId="07F0033F" w:rsidR="00E117CC" w:rsidRDefault="00E117CC" w:rsidP="004409CD">
            <w:pPr>
              <w:spacing w:line="240" w:lineRule="auto"/>
              <w:rPr>
                <w:rFonts w:cs="Calibri"/>
                <w:color w:val="000000"/>
                <w:sz w:val="20"/>
                <w:szCs w:val="20"/>
                <w:lang w:eastAsia="en-GB"/>
              </w:rPr>
            </w:pPr>
            <w:r>
              <w:rPr>
                <w:rFonts w:cs="Calibri"/>
                <w:color w:val="000000"/>
                <w:sz w:val="20"/>
                <w:szCs w:val="20"/>
                <w:lang w:eastAsia="en-GB"/>
              </w:rPr>
              <w:t xml:space="preserve">This document provides a formal agreement and associated actions in relation to the </w:t>
            </w:r>
            <w:r w:rsidR="004409CD">
              <w:rPr>
                <w:rFonts w:cs="Calibri"/>
                <w:color w:val="000000"/>
                <w:sz w:val="20"/>
                <w:szCs w:val="20"/>
                <w:lang w:eastAsia="en-GB"/>
              </w:rPr>
              <w:t xml:space="preserve">sharing of </w:t>
            </w:r>
            <w:r>
              <w:rPr>
                <w:rFonts w:cs="Calibri"/>
                <w:color w:val="000000"/>
                <w:sz w:val="20"/>
                <w:szCs w:val="20"/>
                <w:lang w:eastAsia="en-GB"/>
              </w:rPr>
              <w:t xml:space="preserve">personal and sensitive (special category data) </w:t>
            </w:r>
            <w:r w:rsidR="006D7414">
              <w:rPr>
                <w:rFonts w:cs="Calibri"/>
                <w:color w:val="000000"/>
                <w:sz w:val="20"/>
                <w:szCs w:val="20"/>
                <w:lang w:eastAsia="en-GB"/>
              </w:rPr>
              <w:t>patient data between</w:t>
            </w:r>
            <w:r w:rsidR="004409CD" w:rsidRPr="004409CD">
              <w:rPr>
                <w:rFonts w:cs="Calibri"/>
                <w:color w:val="000000"/>
                <w:sz w:val="20"/>
                <w:szCs w:val="20"/>
                <w:lang w:eastAsia="en-GB"/>
              </w:rPr>
              <w:t xml:space="preserve"> </w:t>
            </w:r>
            <w:r w:rsidR="00971E63">
              <w:rPr>
                <w:rFonts w:cs="Calibri"/>
                <w:color w:val="000000"/>
                <w:sz w:val="20"/>
                <w:szCs w:val="20"/>
                <w:lang w:eastAsia="en-GB"/>
              </w:rPr>
              <w:t>North Norfolk GP Practices</w:t>
            </w:r>
            <w:r w:rsidR="004409CD" w:rsidRPr="004409CD">
              <w:rPr>
                <w:rFonts w:cs="Calibri"/>
                <w:color w:val="000000"/>
                <w:sz w:val="20"/>
                <w:szCs w:val="20"/>
                <w:lang w:eastAsia="en-GB"/>
              </w:rPr>
              <w:t>,</w:t>
            </w:r>
            <w:r w:rsidR="00971E63">
              <w:rPr>
                <w:rFonts w:cs="Calibri"/>
                <w:color w:val="000000"/>
                <w:sz w:val="20"/>
                <w:szCs w:val="20"/>
                <w:lang w:eastAsia="en-GB"/>
              </w:rPr>
              <w:t xml:space="preserve"> NNUH, JP, KL </w:t>
            </w:r>
            <w:r w:rsidR="0089537D">
              <w:rPr>
                <w:rFonts w:cs="Calibri"/>
                <w:color w:val="000000"/>
                <w:sz w:val="20"/>
                <w:szCs w:val="20"/>
                <w:lang w:eastAsia="en-GB"/>
              </w:rPr>
              <w:t xml:space="preserve">(hospitals) </w:t>
            </w:r>
            <w:r w:rsidR="00971E63">
              <w:rPr>
                <w:rFonts w:cs="Calibri"/>
                <w:color w:val="000000"/>
                <w:sz w:val="20"/>
                <w:szCs w:val="20"/>
                <w:lang w:eastAsia="en-GB"/>
              </w:rPr>
              <w:t>and E</w:t>
            </w:r>
            <w:r w:rsidR="0089537D">
              <w:rPr>
                <w:rFonts w:cs="Calibri"/>
                <w:color w:val="000000"/>
                <w:sz w:val="20"/>
                <w:szCs w:val="20"/>
                <w:lang w:eastAsia="en-GB"/>
              </w:rPr>
              <w:t>ast Coast Community Healthcare (ECCH)</w:t>
            </w:r>
            <w:r w:rsidR="00971E63">
              <w:rPr>
                <w:rFonts w:cs="Calibri"/>
                <w:color w:val="000000"/>
                <w:sz w:val="20"/>
                <w:szCs w:val="20"/>
                <w:lang w:eastAsia="en-GB"/>
              </w:rPr>
              <w:t>.</w:t>
            </w:r>
          </w:p>
          <w:p w14:paraId="4453B039" w14:textId="027F10DF" w:rsidR="006D7414" w:rsidRDefault="006D7414" w:rsidP="004409CD">
            <w:pPr>
              <w:spacing w:line="240" w:lineRule="auto"/>
              <w:rPr>
                <w:rFonts w:cs="Calibri"/>
                <w:color w:val="000000"/>
                <w:sz w:val="20"/>
                <w:szCs w:val="20"/>
                <w:lang w:eastAsia="en-GB"/>
              </w:rPr>
            </w:pPr>
          </w:p>
          <w:p w14:paraId="5FB6E6EB" w14:textId="024D69E4" w:rsidR="007C758A" w:rsidRDefault="00971E63" w:rsidP="004409CD">
            <w:pPr>
              <w:spacing w:line="240" w:lineRule="auto"/>
              <w:rPr>
                <w:rFonts w:cs="Calibri"/>
                <w:color w:val="000000"/>
                <w:sz w:val="20"/>
                <w:szCs w:val="20"/>
                <w:lang w:eastAsia="en-GB"/>
              </w:rPr>
            </w:pPr>
            <w:r>
              <w:rPr>
                <w:rFonts w:cs="Calibri"/>
                <w:color w:val="000000"/>
                <w:sz w:val="20"/>
                <w:szCs w:val="20"/>
                <w:lang w:eastAsia="en-GB"/>
              </w:rPr>
              <w:t xml:space="preserve">ECCH will be based across </w:t>
            </w:r>
            <w:proofErr w:type="gramStart"/>
            <w:r>
              <w:rPr>
                <w:rFonts w:cs="Calibri"/>
                <w:color w:val="000000"/>
                <w:sz w:val="20"/>
                <w:szCs w:val="20"/>
                <w:lang w:eastAsia="en-GB"/>
              </w:rPr>
              <w:t>a number of</w:t>
            </w:r>
            <w:proofErr w:type="gramEnd"/>
            <w:r>
              <w:rPr>
                <w:rFonts w:cs="Calibri"/>
                <w:color w:val="000000"/>
                <w:sz w:val="20"/>
                <w:szCs w:val="20"/>
                <w:lang w:eastAsia="en-GB"/>
              </w:rPr>
              <w:t xml:space="preserve"> practice </w:t>
            </w:r>
            <w:r w:rsidR="0089537D">
              <w:rPr>
                <w:rFonts w:cs="Calibri"/>
                <w:color w:val="000000"/>
                <w:sz w:val="20"/>
                <w:szCs w:val="20"/>
                <w:lang w:eastAsia="en-GB"/>
              </w:rPr>
              <w:t>sites</w:t>
            </w:r>
            <w:r>
              <w:rPr>
                <w:rFonts w:cs="Calibri"/>
                <w:color w:val="000000"/>
                <w:sz w:val="20"/>
                <w:szCs w:val="20"/>
                <w:lang w:eastAsia="en-GB"/>
              </w:rPr>
              <w:t xml:space="preserve"> and receive referrals from above named acute parties </w:t>
            </w:r>
            <w:bookmarkStart w:id="0" w:name="_GoBack"/>
            <w:bookmarkEnd w:id="0"/>
            <w:r>
              <w:rPr>
                <w:rFonts w:cs="Calibri"/>
                <w:color w:val="000000"/>
                <w:sz w:val="20"/>
                <w:szCs w:val="20"/>
                <w:lang w:eastAsia="en-GB"/>
              </w:rPr>
              <w:t>via NHS Net</w:t>
            </w:r>
            <w:r w:rsidR="0089537D">
              <w:rPr>
                <w:rFonts w:cs="Calibri"/>
                <w:color w:val="000000"/>
                <w:sz w:val="20"/>
                <w:szCs w:val="20"/>
                <w:lang w:eastAsia="en-GB"/>
              </w:rPr>
              <w:t>. P</w:t>
            </w:r>
            <w:r>
              <w:rPr>
                <w:rFonts w:cs="Calibri"/>
                <w:color w:val="000000"/>
                <w:sz w:val="20"/>
                <w:szCs w:val="20"/>
                <w:lang w:eastAsia="en-GB"/>
              </w:rPr>
              <w:t>ractices will also refer this way with a view to e-referral being the main route in the future.</w:t>
            </w:r>
          </w:p>
          <w:p w14:paraId="1CE7598C" w14:textId="72630A00" w:rsidR="00971E63" w:rsidRDefault="00971E63" w:rsidP="004409CD">
            <w:pPr>
              <w:spacing w:line="240" w:lineRule="auto"/>
              <w:rPr>
                <w:rFonts w:cs="Calibri"/>
                <w:color w:val="000000"/>
                <w:sz w:val="20"/>
                <w:szCs w:val="20"/>
                <w:lang w:eastAsia="en-GB"/>
              </w:rPr>
            </w:pPr>
          </w:p>
          <w:p w14:paraId="5C83A067" w14:textId="245BBD86" w:rsidR="00971E63" w:rsidRDefault="00971E63" w:rsidP="004409CD">
            <w:pPr>
              <w:spacing w:line="240" w:lineRule="auto"/>
              <w:rPr>
                <w:rFonts w:cs="Calibri"/>
                <w:color w:val="000000"/>
                <w:sz w:val="20"/>
                <w:szCs w:val="20"/>
                <w:lang w:eastAsia="en-GB"/>
              </w:rPr>
            </w:pPr>
            <w:r>
              <w:rPr>
                <w:rFonts w:cs="Calibri"/>
                <w:color w:val="000000"/>
                <w:sz w:val="20"/>
                <w:szCs w:val="20"/>
                <w:lang w:eastAsia="en-GB"/>
              </w:rPr>
              <w:t>Patient will be registered onto ECCH MSK S1 unit and are then contacted directly for initial triage and appointment making. Part of this discussion will include providing clarity around access to full GP records to support the appointment and identifying any objections or concerns.</w:t>
            </w:r>
          </w:p>
          <w:p w14:paraId="12F89F19" w14:textId="77777777" w:rsidR="00A13544" w:rsidRPr="004409CD" w:rsidRDefault="00A13544" w:rsidP="004409CD">
            <w:pPr>
              <w:spacing w:line="240" w:lineRule="auto"/>
              <w:rPr>
                <w:rFonts w:cs="Calibri"/>
                <w:color w:val="000000"/>
                <w:sz w:val="20"/>
                <w:szCs w:val="20"/>
                <w:lang w:eastAsia="en-GB"/>
              </w:rPr>
            </w:pPr>
          </w:p>
          <w:p w14:paraId="709F0D1E" w14:textId="2F91CEDB" w:rsidR="00BF41AE" w:rsidRPr="009A6EAE" w:rsidRDefault="00BF41AE" w:rsidP="00BF41AE">
            <w:pPr>
              <w:pStyle w:val="ListParagraph"/>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bottom"/>
            <w:hideMark/>
          </w:tcPr>
          <w:p w14:paraId="20C72E70"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6B2A35" w:rsidRPr="0049256C" w14:paraId="13FCBE91" w14:textId="77777777" w:rsidTr="00B83221">
        <w:trPr>
          <w:trHeight w:val="88"/>
        </w:trPr>
        <w:tc>
          <w:tcPr>
            <w:tcW w:w="1427" w:type="pct"/>
            <w:gridSpan w:val="3"/>
            <w:tcBorders>
              <w:top w:val="nil"/>
              <w:left w:val="nil"/>
              <w:bottom w:val="single" w:sz="4" w:space="0" w:color="auto"/>
              <w:right w:val="nil"/>
            </w:tcBorders>
            <w:shd w:val="clear" w:color="000000" w:fill="FFFFFF"/>
            <w:vAlign w:val="center"/>
            <w:hideMark/>
          </w:tcPr>
          <w:p w14:paraId="729B2F22"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vAlign w:val="center"/>
            <w:hideMark/>
          </w:tcPr>
          <w:p w14:paraId="466C0DBB"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3A57ABCE" w14:textId="77777777" w:rsidR="00F820AA" w:rsidRPr="009A6EAE" w:rsidRDefault="00F820AA" w:rsidP="00306245">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5066D4C1" w14:textId="77777777" w:rsidR="00F820AA" w:rsidRPr="0049256C" w:rsidRDefault="00F820AA" w:rsidP="00932538">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020ED9" w:rsidRPr="0049256C" w14:paraId="3DD2621E" w14:textId="77777777" w:rsidTr="00672A52">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62277AF8"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1FA56213"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ABA5C76" w14:textId="77777777" w:rsidR="00CB69A8" w:rsidRPr="00BB341F" w:rsidRDefault="00CB69A8" w:rsidP="00672A52">
            <w:pPr>
              <w:spacing w:line="240" w:lineRule="auto"/>
              <w:jc w:val="center"/>
              <w:rPr>
                <w:rFonts w:cs="Calibri"/>
                <w:color w:val="000000"/>
                <w:sz w:val="20"/>
                <w:szCs w:val="20"/>
                <w:lang w:eastAsia="en-GB"/>
              </w:rPr>
            </w:pPr>
          </w:p>
          <w:p w14:paraId="0CBA96E5" w14:textId="3EC3BE77" w:rsidR="00BB341F" w:rsidRDefault="00C82F9B" w:rsidP="00C82F9B">
            <w:pPr>
              <w:pStyle w:val="ListParagraph"/>
              <w:numPr>
                <w:ilvl w:val="0"/>
                <w:numId w:val="17"/>
              </w:numPr>
              <w:rPr>
                <w:rFonts w:cs="Calibri"/>
                <w:color w:val="000000"/>
                <w:sz w:val="20"/>
                <w:szCs w:val="20"/>
                <w:lang w:eastAsia="en-GB"/>
              </w:rPr>
            </w:pPr>
            <w:r>
              <w:rPr>
                <w:rFonts w:cs="Calibri"/>
                <w:color w:val="000000"/>
                <w:sz w:val="20"/>
                <w:szCs w:val="20"/>
                <w:lang w:eastAsia="en-GB"/>
              </w:rPr>
              <w:t>Relevant stakeholders will share</w:t>
            </w:r>
            <w:r w:rsidR="00BB341F" w:rsidRPr="00BB341F">
              <w:rPr>
                <w:rFonts w:cs="Calibri"/>
                <w:color w:val="000000"/>
                <w:sz w:val="20"/>
                <w:szCs w:val="20"/>
                <w:lang w:eastAsia="en-GB"/>
              </w:rPr>
              <w:t xml:space="preserve"> demographic information </w:t>
            </w:r>
            <w:r>
              <w:rPr>
                <w:rFonts w:cs="Calibri"/>
                <w:color w:val="000000"/>
                <w:sz w:val="20"/>
                <w:szCs w:val="20"/>
                <w:lang w:eastAsia="en-GB"/>
              </w:rPr>
              <w:t>(</w:t>
            </w:r>
            <w:r w:rsidR="00BB341F" w:rsidRPr="00BB341F">
              <w:rPr>
                <w:rFonts w:cs="Calibri"/>
                <w:color w:val="000000"/>
                <w:sz w:val="20"/>
                <w:szCs w:val="20"/>
                <w:lang w:eastAsia="en-GB"/>
              </w:rPr>
              <w:t xml:space="preserve">name, </w:t>
            </w:r>
            <w:r>
              <w:rPr>
                <w:rFonts w:cs="Calibri"/>
                <w:color w:val="000000"/>
                <w:sz w:val="20"/>
                <w:szCs w:val="20"/>
                <w:lang w:eastAsia="en-GB"/>
              </w:rPr>
              <w:t>DOB</w:t>
            </w:r>
            <w:r w:rsidR="00BB341F" w:rsidRPr="00BB341F">
              <w:rPr>
                <w:rFonts w:cs="Calibri"/>
                <w:color w:val="000000"/>
                <w:sz w:val="20"/>
                <w:szCs w:val="20"/>
                <w:lang w:eastAsia="en-GB"/>
              </w:rPr>
              <w:t xml:space="preserve">, </w:t>
            </w:r>
            <w:r w:rsidR="00BB341F">
              <w:rPr>
                <w:rFonts w:cs="Calibri"/>
                <w:color w:val="000000"/>
                <w:sz w:val="20"/>
                <w:szCs w:val="20"/>
                <w:lang w:eastAsia="en-GB"/>
              </w:rPr>
              <w:t>NHS Number</w:t>
            </w:r>
            <w:r>
              <w:rPr>
                <w:rFonts w:cs="Calibri"/>
                <w:color w:val="000000"/>
                <w:sz w:val="20"/>
                <w:szCs w:val="20"/>
                <w:lang w:eastAsia="en-GB"/>
              </w:rPr>
              <w:t>) of identified patients with the</w:t>
            </w:r>
            <w:r w:rsidR="00971E63">
              <w:rPr>
                <w:rFonts w:cs="Calibri"/>
                <w:color w:val="000000"/>
                <w:sz w:val="20"/>
                <w:szCs w:val="20"/>
                <w:lang w:eastAsia="en-GB"/>
              </w:rPr>
              <w:t xml:space="preserve"> MSK Team</w:t>
            </w:r>
          </w:p>
          <w:p w14:paraId="32D949F1" w14:textId="0C3FF90D" w:rsidR="00C82F9B" w:rsidRDefault="00971E63" w:rsidP="00C82F9B">
            <w:pPr>
              <w:pStyle w:val="ListParagraph"/>
              <w:numPr>
                <w:ilvl w:val="0"/>
                <w:numId w:val="17"/>
              </w:numPr>
              <w:rPr>
                <w:rFonts w:cs="Calibri"/>
                <w:color w:val="000000"/>
                <w:sz w:val="20"/>
                <w:szCs w:val="20"/>
                <w:lang w:eastAsia="en-GB"/>
              </w:rPr>
            </w:pPr>
            <w:r>
              <w:rPr>
                <w:rFonts w:cs="Calibri"/>
                <w:color w:val="000000"/>
                <w:sz w:val="20"/>
                <w:szCs w:val="20"/>
                <w:lang w:eastAsia="en-GB"/>
              </w:rPr>
              <w:t>Contact details used for initial contact / triage and any pertinent information will be recorded in the MSK S1 unit</w:t>
            </w:r>
          </w:p>
          <w:p w14:paraId="272D0151" w14:textId="175DF31B" w:rsidR="007C758A" w:rsidRDefault="00971E63" w:rsidP="009A4791">
            <w:pPr>
              <w:pStyle w:val="ListParagraph"/>
              <w:numPr>
                <w:ilvl w:val="0"/>
                <w:numId w:val="17"/>
              </w:numPr>
              <w:rPr>
                <w:rFonts w:cs="Calibri"/>
                <w:color w:val="000000"/>
                <w:sz w:val="20"/>
                <w:szCs w:val="20"/>
                <w:lang w:eastAsia="en-GB"/>
              </w:rPr>
            </w:pPr>
            <w:r>
              <w:rPr>
                <w:rFonts w:cs="Calibri"/>
                <w:color w:val="000000"/>
                <w:sz w:val="20"/>
                <w:szCs w:val="20"/>
                <w:lang w:eastAsia="en-GB"/>
              </w:rPr>
              <w:t xml:space="preserve">MSK unit will provide a proportionate view of the past medical history </w:t>
            </w:r>
            <w:r w:rsidR="000452E2">
              <w:rPr>
                <w:rFonts w:cs="Calibri"/>
                <w:color w:val="000000"/>
                <w:sz w:val="20"/>
                <w:szCs w:val="20"/>
                <w:lang w:eastAsia="en-GB"/>
              </w:rPr>
              <w:t>(using relevant codes standard summary view)</w:t>
            </w:r>
          </w:p>
          <w:p w14:paraId="02DE0984" w14:textId="77777777" w:rsidR="000452E2" w:rsidRDefault="000452E2" w:rsidP="009A4791">
            <w:pPr>
              <w:pStyle w:val="ListParagraph"/>
              <w:numPr>
                <w:ilvl w:val="0"/>
                <w:numId w:val="17"/>
              </w:numPr>
              <w:rPr>
                <w:rFonts w:cs="Calibri"/>
                <w:color w:val="000000"/>
                <w:sz w:val="20"/>
                <w:szCs w:val="20"/>
                <w:lang w:eastAsia="en-GB"/>
              </w:rPr>
            </w:pPr>
            <w:r>
              <w:rPr>
                <w:rFonts w:cs="Calibri"/>
                <w:color w:val="000000"/>
                <w:sz w:val="20"/>
                <w:szCs w:val="20"/>
                <w:lang w:eastAsia="en-GB"/>
              </w:rPr>
              <w:lastRenderedPageBreak/>
              <w:t>Undertake consultation and potentially onward referral to secondary care (covered by overarching agreement)</w:t>
            </w:r>
          </w:p>
          <w:p w14:paraId="24034166" w14:textId="77777777" w:rsidR="000452E2" w:rsidRDefault="000452E2" w:rsidP="009A4791">
            <w:pPr>
              <w:pStyle w:val="ListParagraph"/>
              <w:numPr>
                <w:ilvl w:val="0"/>
                <w:numId w:val="17"/>
              </w:numPr>
              <w:rPr>
                <w:rFonts w:cs="Calibri"/>
                <w:color w:val="000000"/>
                <w:sz w:val="20"/>
                <w:szCs w:val="20"/>
                <w:lang w:eastAsia="en-GB"/>
              </w:rPr>
            </w:pPr>
            <w:r>
              <w:rPr>
                <w:rFonts w:cs="Calibri"/>
                <w:color w:val="000000"/>
                <w:sz w:val="20"/>
                <w:szCs w:val="20"/>
                <w:lang w:eastAsia="en-GB"/>
              </w:rPr>
              <w:t>Practice receives a report of intervention provided and the outcome as well as DNA</w:t>
            </w:r>
          </w:p>
          <w:p w14:paraId="26B02E8C" w14:textId="4A19830E" w:rsidR="000452E2" w:rsidRPr="000452E2" w:rsidRDefault="000452E2" w:rsidP="009A4791">
            <w:pPr>
              <w:pStyle w:val="ListParagraph"/>
              <w:numPr>
                <w:ilvl w:val="0"/>
                <w:numId w:val="17"/>
              </w:numPr>
              <w:rPr>
                <w:rFonts w:cs="Calibri"/>
                <w:color w:val="000000"/>
                <w:sz w:val="20"/>
                <w:szCs w:val="20"/>
                <w:lang w:eastAsia="en-GB"/>
              </w:rPr>
            </w:pPr>
            <w:r>
              <w:rPr>
                <w:rFonts w:cs="Calibri"/>
                <w:color w:val="000000"/>
                <w:sz w:val="20"/>
                <w:szCs w:val="20"/>
                <w:lang w:eastAsia="en-GB"/>
              </w:rPr>
              <w:t>Aggregated anonymous service data provided to NNPC and CCG</w:t>
            </w:r>
          </w:p>
        </w:tc>
        <w:tc>
          <w:tcPr>
            <w:tcW w:w="96" w:type="pct"/>
            <w:tcBorders>
              <w:top w:val="nil"/>
              <w:left w:val="nil"/>
              <w:bottom w:val="nil"/>
              <w:right w:val="nil"/>
            </w:tcBorders>
            <w:shd w:val="clear" w:color="000000" w:fill="FFFFFF"/>
            <w:vAlign w:val="bottom"/>
            <w:hideMark/>
          </w:tcPr>
          <w:p w14:paraId="4FF67AD0"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6B2A35" w:rsidRPr="0049256C" w14:paraId="116AC2DB" w14:textId="77777777" w:rsidTr="00B83221">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4B0AE999"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7CB05E1B"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1517359C" w14:textId="77777777" w:rsidR="00F820AA" w:rsidRPr="00162A47" w:rsidRDefault="00F820AA" w:rsidP="00932538">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367068A1" w14:textId="77777777" w:rsidR="00F820AA" w:rsidRPr="0049256C" w:rsidRDefault="00F820AA" w:rsidP="00932538">
            <w:pPr>
              <w:spacing w:line="240" w:lineRule="auto"/>
              <w:jc w:val="center"/>
              <w:rPr>
                <w:rFonts w:cs="Calibri"/>
                <w:color w:val="000000"/>
                <w:szCs w:val="22"/>
                <w:lang w:eastAsia="en-GB"/>
              </w:rPr>
            </w:pPr>
            <w:r w:rsidRPr="0049256C">
              <w:rPr>
                <w:rFonts w:cs="Calibri"/>
                <w:color w:val="000000"/>
                <w:szCs w:val="22"/>
                <w:lang w:eastAsia="en-GB"/>
              </w:rPr>
              <w:t> </w:t>
            </w:r>
          </w:p>
        </w:tc>
      </w:tr>
      <w:tr w:rsidR="00020ED9" w:rsidRPr="0049256C" w14:paraId="47CE40FC" w14:textId="77777777" w:rsidTr="00B83221">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C20148" w14:textId="3EB261A5"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sidR="00CF757F">
              <w:rPr>
                <w:rFonts w:cs="Calibri"/>
                <w:color w:val="305496"/>
                <w:sz w:val="20"/>
                <w:szCs w:val="20"/>
                <w:lang w:eastAsia="en-GB"/>
              </w:rPr>
              <w:t xml:space="preserve">Secure </w:t>
            </w:r>
            <w:r w:rsidRPr="009A6EAE">
              <w:rPr>
                <w:rFonts w:cs="Calibri"/>
                <w:color w:val="305496"/>
                <w:sz w:val="20"/>
                <w:szCs w:val="20"/>
                <w:lang w:eastAsia="en-GB"/>
              </w:rPr>
              <w:t>Transfer Method 1</w:t>
            </w:r>
          </w:p>
        </w:tc>
        <w:tc>
          <w:tcPr>
            <w:tcW w:w="101" w:type="pct"/>
            <w:tcBorders>
              <w:top w:val="nil"/>
              <w:left w:val="nil"/>
              <w:bottom w:val="nil"/>
              <w:right w:val="nil"/>
            </w:tcBorders>
            <w:shd w:val="clear" w:color="000000" w:fill="FFFFFF"/>
            <w:noWrap/>
            <w:vAlign w:val="center"/>
            <w:hideMark/>
          </w:tcPr>
          <w:p w14:paraId="78B80A0F"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66D8A9" w14:textId="68DC6D65" w:rsidR="00F820AA" w:rsidRPr="000F0BBD" w:rsidRDefault="00C82F9B" w:rsidP="00932538">
            <w:pPr>
              <w:spacing w:line="240" w:lineRule="auto"/>
              <w:jc w:val="center"/>
              <w:rPr>
                <w:rFonts w:cs="Calibri"/>
                <w:color w:val="000000"/>
                <w:sz w:val="20"/>
                <w:szCs w:val="20"/>
                <w:lang w:eastAsia="en-GB"/>
              </w:rPr>
            </w:pPr>
            <w:r>
              <w:rPr>
                <w:rFonts w:cs="Calibri"/>
                <w:color w:val="000000"/>
                <w:sz w:val="20"/>
                <w:szCs w:val="20"/>
                <w:lang w:eastAsia="en-GB"/>
              </w:rPr>
              <w:t xml:space="preserve">NHS </w:t>
            </w:r>
            <w:r w:rsidR="000452E2">
              <w:rPr>
                <w:rFonts w:cs="Calibri"/>
                <w:color w:val="000000"/>
                <w:sz w:val="20"/>
                <w:szCs w:val="20"/>
                <w:lang w:eastAsia="en-GB"/>
              </w:rPr>
              <w:t>Mail / Clinical System (e-referral)</w:t>
            </w:r>
            <w:r w:rsidR="007C758A">
              <w:rPr>
                <w:rFonts w:cs="Calibri"/>
                <w:color w:val="000000"/>
                <w:sz w:val="20"/>
                <w:szCs w:val="20"/>
                <w:lang w:eastAsia="en-GB"/>
              </w:rPr>
              <w:t xml:space="preserve"> </w:t>
            </w:r>
          </w:p>
        </w:tc>
        <w:tc>
          <w:tcPr>
            <w:tcW w:w="96" w:type="pct"/>
            <w:tcBorders>
              <w:top w:val="nil"/>
              <w:left w:val="nil"/>
              <w:bottom w:val="nil"/>
              <w:right w:val="nil"/>
            </w:tcBorders>
            <w:shd w:val="clear" w:color="000000" w:fill="FFFFFF"/>
            <w:vAlign w:val="center"/>
            <w:hideMark/>
          </w:tcPr>
          <w:p w14:paraId="4F92A4EF"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7E795B" w:rsidRPr="0049256C" w14:paraId="22A5F1EE" w14:textId="77777777" w:rsidTr="00B83221">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9FED6C" w14:textId="359B7020"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sidR="00CF757F">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686414F5"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84FB34" w14:textId="2A10B7CF" w:rsidR="00F820AA" w:rsidRPr="000F0BBD" w:rsidRDefault="000452E2" w:rsidP="00932538">
            <w:pPr>
              <w:spacing w:line="240" w:lineRule="auto"/>
              <w:jc w:val="center"/>
              <w:rPr>
                <w:rFonts w:cs="Calibri"/>
                <w:color w:val="000000"/>
                <w:sz w:val="20"/>
                <w:szCs w:val="20"/>
                <w:lang w:eastAsia="en-GB"/>
              </w:rPr>
            </w:pPr>
            <w:r>
              <w:rPr>
                <w:rFonts w:cs="Calibri"/>
                <w:color w:val="000000"/>
                <w:sz w:val="20"/>
                <w:szCs w:val="20"/>
                <w:lang w:eastAsia="en-GB"/>
              </w:rPr>
              <w:t>Verbal / Telephone</w:t>
            </w:r>
          </w:p>
        </w:tc>
      </w:tr>
      <w:tr w:rsidR="000A2D61" w:rsidRPr="0049256C" w14:paraId="5794EF2A" w14:textId="77777777" w:rsidTr="00B83221">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7793B35E" w14:textId="0B59F33E" w:rsidR="000A2D61" w:rsidRPr="009A6EAE" w:rsidRDefault="000A2D61" w:rsidP="00932538">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785514A8" w14:textId="77777777" w:rsidR="000A2D61" w:rsidRPr="009A6EAE" w:rsidRDefault="000A2D61" w:rsidP="00932538">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066671" w14:textId="500A09F2" w:rsidR="000A2D61" w:rsidRDefault="000452E2" w:rsidP="00932538">
            <w:pPr>
              <w:spacing w:line="240" w:lineRule="auto"/>
              <w:jc w:val="center"/>
              <w:rPr>
                <w:rFonts w:cs="Calibri"/>
                <w:color w:val="000000"/>
                <w:sz w:val="20"/>
                <w:szCs w:val="20"/>
                <w:lang w:eastAsia="en-GB"/>
              </w:rPr>
            </w:pPr>
            <w:r>
              <w:rPr>
                <w:rFonts w:cs="Calibri"/>
                <w:color w:val="000000"/>
                <w:sz w:val="20"/>
                <w:szCs w:val="20"/>
                <w:lang w:eastAsia="en-GB"/>
              </w:rPr>
              <w:t>May sometimes be postal although not preferred route</w:t>
            </w:r>
          </w:p>
        </w:tc>
      </w:tr>
      <w:tr w:rsidR="00565D61" w:rsidRPr="0049256C" w14:paraId="06F04564" w14:textId="77777777" w:rsidTr="00B83221">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2F3C0AAC" w14:textId="77777777" w:rsidR="00565D61" w:rsidRPr="009A6EAE" w:rsidRDefault="00565D61" w:rsidP="00932538">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2D7226AD" w14:textId="77777777" w:rsidR="00565D61" w:rsidRPr="009A6EAE" w:rsidRDefault="00565D61" w:rsidP="00932538">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0F428B8C" w14:textId="77777777" w:rsidR="00565D61" w:rsidRPr="000F0BBD" w:rsidRDefault="00565D61" w:rsidP="00932538">
            <w:pPr>
              <w:spacing w:line="240" w:lineRule="auto"/>
              <w:jc w:val="center"/>
              <w:rPr>
                <w:rFonts w:cs="Calibri"/>
                <w:color w:val="000000"/>
                <w:sz w:val="20"/>
                <w:szCs w:val="20"/>
                <w:lang w:eastAsia="en-GB"/>
              </w:rPr>
            </w:pPr>
          </w:p>
        </w:tc>
      </w:tr>
      <w:tr w:rsidR="00565D61" w:rsidRPr="0049256C" w14:paraId="194943C8" w14:textId="77777777" w:rsidTr="00B83221">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2214F95C" w14:textId="11F67C94" w:rsidR="00565D61" w:rsidRPr="009A6EAE" w:rsidRDefault="00565D61" w:rsidP="00932538">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19AEFA98" w14:textId="77777777" w:rsidR="00565D61" w:rsidRPr="009A6EAE" w:rsidRDefault="00565D61" w:rsidP="00932538">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BEDC28" w14:textId="77777777" w:rsidR="00CB6572" w:rsidRDefault="00CB6572" w:rsidP="00932538">
            <w:pPr>
              <w:spacing w:line="240" w:lineRule="auto"/>
              <w:jc w:val="center"/>
              <w:rPr>
                <w:rFonts w:cs="Calibri"/>
                <w:color w:val="000000"/>
                <w:sz w:val="20"/>
                <w:szCs w:val="20"/>
                <w:lang w:eastAsia="en-GB"/>
              </w:rPr>
            </w:pPr>
          </w:p>
          <w:p w14:paraId="6125A8A6" w14:textId="6DC9BEC2" w:rsidR="00BF41AE" w:rsidRDefault="00672A52" w:rsidP="00BF41AE">
            <w:pPr>
              <w:spacing w:line="240" w:lineRule="auto"/>
              <w:jc w:val="center"/>
              <w:rPr>
                <w:rFonts w:cs="Calibri"/>
                <w:color w:val="000000"/>
                <w:sz w:val="20"/>
                <w:szCs w:val="20"/>
                <w:lang w:eastAsia="en-GB"/>
              </w:rPr>
            </w:pPr>
            <w:r>
              <w:rPr>
                <w:rFonts w:cs="Calibri"/>
                <w:color w:val="000000"/>
                <w:sz w:val="20"/>
                <w:szCs w:val="20"/>
                <w:lang w:eastAsia="en-GB"/>
              </w:rPr>
              <w:t>Each party is responsible for secure storage of disclosed data</w:t>
            </w:r>
            <w:r w:rsidR="003D7217">
              <w:rPr>
                <w:rFonts w:cs="Calibri"/>
                <w:color w:val="000000"/>
                <w:sz w:val="20"/>
                <w:szCs w:val="20"/>
                <w:lang w:eastAsia="en-GB"/>
              </w:rPr>
              <w:t xml:space="preserve"> as it remains in situ within their information asset</w:t>
            </w:r>
          </w:p>
          <w:p w14:paraId="68D04739" w14:textId="3A10CF76" w:rsidR="00CB6572" w:rsidRPr="000F0BBD" w:rsidRDefault="00CB6572" w:rsidP="00BC2371">
            <w:pPr>
              <w:spacing w:line="240" w:lineRule="auto"/>
              <w:jc w:val="center"/>
              <w:rPr>
                <w:rFonts w:cs="Calibri"/>
                <w:color w:val="000000"/>
                <w:sz w:val="20"/>
                <w:szCs w:val="20"/>
                <w:lang w:eastAsia="en-GB"/>
              </w:rPr>
            </w:pPr>
          </w:p>
        </w:tc>
      </w:tr>
      <w:tr w:rsidR="00CB69A8" w:rsidRPr="0049256C" w14:paraId="1B1F9862" w14:textId="77777777" w:rsidTr="00B83221">
        <w:trPr>
          <w:gridAfter w:val="7"/>
          <w:wAfter w:w="4861" w:type="pct"/>
          <w:trHeight w:val="503"/>
        </w:trPr>
        <w:tc>
          <w:tcPr>
            <w:tcW w:w="139" w:type="pct"/>
            <w:tcBorders>
              <w:top w:val="nil"/>
              <w:left w:val="nil"/>
              <w:bottom w:val="nil"/>
              <w:right w:val="nil"/>
            </w:tcBorders>
            <w:shd w:val="clear" w:color="000000" w:fill="FFFFFF"/>
            <w:vAlign w:val="center"/>
            <w:hideMark/>
          </w:tcPr>
          <w:p w14:paraId="0A943AE9" w14:textId="77777777" w:rsidR="007E795B" w:rsidRPr="007E795B" w:rsidRDefault="007E795B" w:rsidP="00932538">
            <w:pPr>
              <w:spacing w:line="240" w:lineRule="auto"/>
              <w:jc w:val="center"/>
              <w:rPr>
                <w:rFonts w:cs="Calibri"/>
                <w:color w:val="000000"/>
                <w:sz w:val="4"/>
                <w:szCs w:val="4"/>
                <w:lang w:eastAsia="en-GB"/>
              </w:rPr>
            </w:pPr>
          </w:p>
          <w:p w14:paraId="0D65F2C8" w14:textId="65E48376" w:rsidR="00CB69A8" w:rsidRPr="007E795B" w:rsidRDefault="00CB69A8" w:rsidP="00932538">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F677E2" w:rsidRPr="0049256C" w14:paraId="24F481DB" w14:textId="77777777" w:rsidTr="00B83221">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5AEED44C" w14:textId="017CFB1C" w:rsidR="00F677E2" w:rsidRPr="0049256C" w:rsidRDefault="00F677E2" w:rsidP="00932538">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17534FD6" w14:textId="77777777" w:rsidR="00F677E2" w:rsidRPr="0049256C" w:rsidRDefault="00F677E2" w:rsidP="00932538">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80CD8A" w14:textId="77777777" w:rsidR="00D962D2" w:rsidRPr="00D4670D" w:rsidRDefault="00D962D2" w:rsidP="00D962D2">
            <w:pPr>
              <w:spacing w:line="240" w:lineRule="auto"/>
              <w:rPr>
                <w:rFonts w:cs="Calibri"/>
                <w:color w:val="000000"/>
                <w:sz w:val="10"/>
                <w:szCs w:val="10"/>
                <w:lang w:eastAsia="en-GB"/>
              </w:rPr>
            </w:pPr>
          </w:p>
          <w:p w14:paraId="748D642F" w14:textId="4FB254F5" w:rsidR="006C7BEE" w:rsidRDefault="00672A52" w:rsidP="006C7BEE">
            <w:pPr>
              <w:spacing w:line="240" w:lineRule="auto"/>
              <w:jc w:val="center"/>
              <w:rPr>
                <w:rFonts w:cs="Calibri"/>
                <w:color w:val="000000"/>
                <w:sz w:val="20"/>
                <w:szCs w:val="20"/>
                <w:lang w:eastAsia="en-GB"/>
              </w:rPr>
            </w:pPr>
            <w:r>
              <w:rPr>
                <w:rFonts w:cs="Calibri"/>
                <w:color w:val="000000"/>
                <w:sz w:val="20"/>
                <w:szCs w:val="20"/>
                <w:lang w:eastAsia="en-GB"/>
              </w:rPr>
              <w:t>Each party is responsible for retention of disclosed data</w:t>
            </w:r>
            <w:r w:rsidR="003D7217">
              <w:rPr>
                <w:rFonts w:cs="Calibri"/>
                <w:color w:val="000000"/>
                <w:sz w:val="20"/>
                <w:szCs w:val="20"/>
                <w:lang w:eastAsia="en-GB"/>
              </w:rPr>
              <w:t xml:space="preserve"> as it remains in situ within their information asset</w:t>
            </w:r>
            <w:r w:rsidR="006C7BEE">
              <w:rPr>
                <w:rFonts w:cs="Calibri"/>
                <w:color w:val="000000"/>
                <w:sz w:val="20"/>
                <w:szCs w:val="20"/>
                <w:lang w:eastAsia="en-GB"/>
              </w:rPr>
              <w:t>.</w:t>
            </w:r>
          </w:p>
          <w:p w14:paraId="722A919E" w14:textId="745E6397" w:rsidR="00D4670D" w:rsidRPr="00D4670D" w:rsidRDefault="00D4670D" w:rsidP="00D4670D">
            <w:pPr>
              <w:spacing w:line="240" w:lineRule="auto"/>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6621422C" w14:textId="77777777" w:rsidR="00F677E2" w:rsidRPr="0049256C" w:rsidRDefault="00F677E2" w:rsidP="00932538">
            <w:pPr>
              <w:spacing w:line="240" w:lineRule="auto"/>
              <w:jc w:val="center"/>
              <w:rPr>
                <w:rFonts w:cs="Calibri"/>
                <w:color w:val="000000"/>
                <w:sz w:val="24"/>
                <w:lang w:eastAsia="en-GB"/>
              </w:rPr>
            </w:pPr>
          </w:p>
        </w:tc>
      </w:tr>
      <w:tr w:rsidR="00F677E2" w:rsidRPr="0049256C" w14:paraId="72D92164" w14:textId="77777777" w:rsidTr="00B83221">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6F08C909" w14:textId="77777777" w:rsidR="00F677E2" w:rsidRPr="0049256C" w:rsidRDefault="00F677E2" w:rsidP="00932538">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3F155CD3" w14:textId="77777777" w:rsidR="00F677E2" w:rsidRPr="0049256C" w:rsidRDefault="00F677E2" w:rsidP="00932538">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3196DC8D" w14:textId="77777777" w:rsidR="00F677E2" w:rsidRDefault="00F677E2" w:rsidP="006D13C7">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0397D528" w14:textId="77777777" w:rsidR="00F677E2" w:rsidRPr="0049256C" w:rsidRDefault="00F677E2" w:rsidP="00932538">
            <w:pPr>
              <w:spacing w:line="240" w:lineRule="auto"/>
              <w:jc w:val="center"/>
              <w:rPr>
                <w:rFonts w:cs="Calibri"/>
                <w:color w:val="000000"/>
                <w:sz w:val="24"/>
                <w:lang w:eastAsia="en-GB"/>
              </w:rPr>
            </w:pPr>
          </w:p>
        </w:tc>
      </w:tr>
      <w:tr w:rsidR="00020ED9" w:rsidRPr="0049256C" w14:paraId="21B23FE4" w14:textId="77777777" w:rsidTr="00B83221">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25A425" w14:textId="5B8B69A2" w:rsidR="00F820AA" w:rsidRPr="009A6EAE" w:rsidRDefault="00F820AA" w:rsidP="00932538">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sidR="000F0BBD">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0D16F04B" w14:textId="77777777" w:rsidR="00F820AA" w:rsidRPr="009A6EAE" w:rsidRDefault="00F820AA" w:rsidP="00932538">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0EEC0C" w14:textId="77777777" w:rsidR="006D13C7" w:rsidRPr="00D4670D" w:rsidRDefault="006D13C7" w:rsidP="006D13C7">
            <w:pPr>
              <w:spacing w:line="240" w:lineRule="auto"/>
              <w:rPr>
                <w:rFonts w:cs="Calibri"/>
                <w:color w:val="000000"/>
                <w:sz w:val="10"/>
                <w:szCs w:val="10"/>
                <w:lang w:eastAsia="en-GB"/>
              </w:rPr>
            </w:pPr>
          </w:p>
          <w:p w14:paraId="10A607AE" w14:textId="469473AD" w:rsidR="009F7B2F" w:rsidRDefault="00672A52" w:rsidP="00A365CA">
            <w:pPr>
              <w:spacing w:line="240" w:lineRule="auto"/>
              <w:jc w:val="center"/>
              <w:rPr>
                <w:rFonts w:cs="Calibri"/>
                <w:color w:val="000000"/>
                <w:sz w:val="20"/>
                <w:szCs w:val="20"/>
                <w:lang w:eastAsia="en-GB"/>
              </w:rPr>
            </w:pPr>
            <w:r>
              <w:rPr>
                <w:rFonts w:cs="Calibri"/>
                <w:color w:val="000000"/>
                <w:sz w:val="20"/>
                <w:szCs w:val="20"/>
                <w:lang w:eastAsia="en-GB"/>
              </w:rPr>
              <w:t>The process will involve sharing information from one Controller to another.</w:t>
            </w:r>
          </w:p>
          <w:p w14:paraId="46983409" w14:textId="6C9D25BA" w:rsidR="00200390" w:rsidRDefault="00672A52" w:rsidP="00A365CA">
            <w:pPr>
              <w:shd w:val="clear" w:color="auto" w:fill="D9E2F3" w:themeFill="accent1" w:themeFillTint="33"/>
              <w:spacing w:before="240" w:after="240"/>
              <w:jc w:val="center"/>
              <w:textAlignment w:val="baseline"/>
              <w:rPr>
                <w:rFonts w:cs="Calibri"/>
                <w:color w:val="000000"/>
                <w:sz w:val="20"/>
                <w:szCs w:val="20"/>
                <w:lang w:eastAsia="en-GB"/>
              </w:rPr>
            </w:pPr>
            <w:r w:rsidRPr="00672A52">
              <w:rPr>
                <w:rFonts w:cs="Calibri"/>
                <w:color w:val="000000"/>
                <w:sz w:val="20"/>
                <w:szCs w:val="20"/>
                <w:lang w:eastAsia="en-GB"/>
              </w:rPr>
              <w:t xml:space="preserve">“Where the same personal data is processed by a series of parties in sequence, each using the data for a different purpose then they will remain separate controllers </w:t>
            </w:r>
            <w:r w:rsidR="00076E93">
              <w:rPr>
                <w:rFonts w:cs="Calibri"/>
                <w:color w:val="000000"/>
                <w:sz w:val="20"/>
                <w:szCs w:val="20"/>
                <w:lang w:eastAsia="en-GB"/>
              </w:rPr>
              <w:t>..</w:t>
            </w:r>
            <w:r w:rsidRPr="00672A52">
              <w:rPr>
                <w:rFonts w:cs="Calibri"/>
                <w:color w:val="000000"/>
                <w:sz w:val="20"/>
                <w:szCs w:val="20"/>
                <w:lang w:eastAsia="en-GB"/>
              </w:rPr>
              <w:t>.”</w:t>
            </w:r>
            <w:r>
              <w:rPr>
                <w:rFonts w:cs="Calibri"/>
                <w:color w:val="000000"/>
                <w:sz w:val="20"/>
                <w:szCs w:val="20"/>
                <w:lang w:eastAsia="en-GB"/>
              </w:rPr>
              <w:t xml:space="preserve"> (ICO Guidance)</w:t>
            </w:r>
          </w:p>
          <w:p w14:paraId="76F34DD5" w14:textId="77777777" w:rsidR="00F820AA" w:rsidRDefault="00A365CA" w:rsidP="00A365CA">
            <w:pPr>
              <w:spacing w:line="240" w:lineRule="auto"/>
              <w:jc w:val="center"/>
              <w:rPr>
                <w:rFonts w:cs="Calibri"/>
                <w:color w:val="000000"/>
                <w:sz w:val="20"/>
                <w:szCs w:val="20"/>
                <w:lang w:eastAsia="en-GB"/>
              </w:rPr>
            </w:pPr>
            <w:r>
              <w:rPr>
                <w:rFonts w:cs="Calibri"/>
                <w:color w:val="000000"/>
                <w:sz w:val="20"/>
                <w:szCs w:val="20"/>
                <w:lang w:eastAsia="en-GB"/>
              </w:rPr>
              <w:t>NNPC are acting as Commissioner along with the CCG</w:t>
            </w:r>
          </w:p>
          <w:p w14:paraId="54F2C1AC" w14:textId="35B835C3" w:rsidR="00A365CA" w:rsidRPr="009A6EAE" w:rsidRDefault="00A365CA" w:rsidP="006D13C7">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7FFCD632"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020ED9" w:rsidRPr="0049256C" w14:paraId="319EE2D6" w14:textId="77777777" w:rsidTr="003761D3">
        <w:trPr>
          <w:trHeight w:val="361"/>
        </w:trPr>
        <w:tc>
          <w:tcPr>
            <w:tcW w:w="1427" w:type="pct"/>
            <w:gridSpan w:val="3"/>
            <w:tcBorders>
              <w:top w:val="single" w:sz="4" w:space="0" w:color="auto"/>
              <w:bottom w:val="single" w:sz="4" w:space="0" w:color="auto"/>
            </w:tcBorders>
            <w:shd w:val="clear" w:color="000000" w:fill="FFFFFF"/>
            <w:noWrap/>
            <w:vAlign w:val="center"/>
            <w:hideMark/>
          </w:tcPr>
          <w:p w14:paraId="4E49CDE4" w14:textId="77777777" w:rsidR="00F820AA" w:rsidRPr="009A6EAE" w:rsidRDefault="00F820AA" w:rsidP="00932538">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006C8949" w14:textId="77777777" w:rsidR="00F820AA" w:rsidRPr="009A6EAE" w:rsidRDefault="00F820AA" w:rsidP="00932538">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5EDB66BF" w14:textId="77777777" w:rsidR="00F820AA" w:rsidRPr="009A6EAE" w:rsidRDefault="00F820AA" w:rsidP="00932538">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22019431"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1B4257" w:rsidRPr="009A6EAE" w14:paraId="29C807AE" w14:textId="77777777" w:rsidTr="003761D3">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105C1" w14:textId="77777777" w:rsidR="001B4257" w:rsidRDefault="001B4257" w:rsidP="00571B14">
            <w:pPr>
              <w:spacing w:line="240" w:lineRule="auto"/>
              <w:jc w:val="right"/>
              <w:rPr>
                <w:rFonts w:cs="Calibri"/>
                <w:color w:val="305496"/>
                <w:sz w:val="30"/>
                <w:szCs w:val="30"/>
                <w:lang w:eastAsia="en-GB"/>
              </w:rPr>
            </w:pPr>
            <w:r>
              <w:rPr>
                <w:rFonts w:cs="Calibri"/>
                <w:color w:val="305496"/>
                <w:sz w:val="30"/>
                <w:szCs w:val="30"/>
                <w:lang w:eastAsia="en-GB"/>
              </w:rPr>
              <w:t xml:space="preserve">Fair Processing </w:t>
            </w:r>
          </w:p>
          <w:p w14:paraId="7738D86F" w14:textId="10817F65" w:rsidR="001B4257" w:rsidRDefault="001B4257" w:rsidP="00571B14">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D417D4" w14:textId="77777777" w:rsidR="001B4257" w:rsidRPr="0049256C" w:rsidRDefault="001B4257" w:rsidP="00571B14">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BAA529" w14:textId="77777777" w:rsidR="001B4257" w:rsidRPr="001B4257" w:rsidRDefault="001B4257" w:rsidP="006B2A35">
            <w:pPr>
              <w:spacing w:line="240" w:lineRule="auto"/>
              <w:jc w:val="center"/>
              <w:rPr>
                <w:rFonts w:cs="Calibri"/>
                <w:color w:val="000000"/>
                <w:sz w:val="10"/>
                <w:szCs w:val="10"/>
                <w:lang w:eastAsia="en-GB"/>
              </w:rPr>
            </w:pPr>
          </w:p>
          <w:p w14:paraId="2D8A1980" w14:textId="1D8EDF2D" w:rsidR="001B4257" w:rsidRDefault="001B4257" w:rsidP="006B2A35">
            <w:pPr>
              <w:spacing w:line="240" w:lineRule="auto"/>
              <w:jc w:val="center"/>
              <w:rPr>
                <w:rFonts w:cs="Calibri"/>
                <w:color w:val="000000"/>
                <w:sz w:val="20"/>
                <w:szCs w:val="20"/>
                <w:lang w:eastAsia="en-GB"/>
              </w:rPr>
            </w:pPr>
            <w:r w:rsidRPr="001B4257">
              <w:rPr>
                <w:rFonts w:cs="Calibri"/>
                <w:color w:val="000000"/>
                <w:sz w:val="20"/>
                <w:szCs w:val="20"/>
                <w:lang w:eastAsia="en-GB"/>
              </w:rPr>
              <w:t xml:space="preserve">In order to satisfy the common law duty of confidentiality and the data protection legislation “right to be informed” there is a requirement to ensure that patients are provided with </w:t>
            </w:r>
            <w:proofErr w:type="gramStart"/>
            <w:r w:rsidRPr="001B4257">
              <w:rPr>
                <w:rFonts w:cs="Calibri"/>
                <w:color w:val="000000"/>
                <w:sz w:val="20"/>
                <w:szCs w:val="20"/>
                <w:lang w:eastAsia="en-GB"/>
              </w:rPr>
              <w:t>sufficient</w:t>
            </w:r>
            <w:proofErr w:type="gramEnd"/>
            <w:r w:rsidRPr="001B4257">
              <w:rPr>
                <w:rFonts w:cs="Calibri"/>
                <w:color w:val="000000"/>
                <w:sz w:val="20"/>
                <w:szCs w:val="20"/>
                <w:lang w:eastAsia="en-GB"/>
              </w:rPr>
              <w:t xml:space="preserve"> information.</w:t>
            </w:r>
            <w:r w:rsidR="009F7B2F">
              <w:rPr>
                <w:rFonts w:cs="Calibri"/>
                <w:color w:val="000000"/>
                <w:sz w:val="20"/>
                <w:szCs w:val="20"/>
                <w:lang w:eastAsia="en-GB"/>
              </w:rPr>
              <w:t xml:space="preserve"> Individuals must “reasonably expect” disclosures of their confidential information.</w:t>
            </w:r>
          </w:p>
          <w:p w14:paraId="1003CFFE" w14:textId="1809D94D" w:rsidR="001B4257" w:rsidRPr="001B4257" w:rsidRDefault="001B4257" w:rsidP="006B2A35">
            <w:pPr>
              <w:spacing w:line="240" w:lineRule="auto"/>
              <w:jc w:val="center"/>
              <w:rPr>
                <w:sz w:val="20"/>
                <w:szCs w:val="20"/>
              </w:rPr>
            </w:pPr>
          </w:p>
          <w:p w14:paraId="101F79F4" w14:textId="41AA5BBA" w:rsidR="001B4257" w:rsidRDefault="001B4257" w:rsidP="006B2A35">
            <w:pPr>
              <w:spacing w:line="240" w:lineRule="auto"/>
              <w:jc w:val="center"/>
              <w:rPr>
                <w:sz w:val="20"/>
                <w:szCs w:val="20"/>
              </w:rPr>
            </w:pPr>
            <w:r w:rsidRPr="001B4257">
              <w:rPr>
                <w:sz w:val="20"/>
                <w:szCs w:val="20"/>
              </w:rPr>
              <w:t xml:space="preserve">The </w:t>
            </w:r>
            <w:r w:rsidR="003761D3">
              <w:rPr>
                <w:sz w:val="20"/>
                <w:szCs w:val="20"/>
              </w:rPr>
              <w:t>parties must each include information about this initiative in their</w:t>
            </w:r>
            <w:r w:rsidRPr="001B4257">
              <w:rPr>
                <w:sz w:val="20"/>
                <w:szCs w:val="20"/>
              </w:rPr>
              <w:t xml:space="preserve"> privacy notices and displayed in situ at </w:t>
            </w:r>
            <w:r w:rsidR="00815BA0">
              <w:rPr>
                <w:sz w:val="20"/>
                <w:szCs w:val="20"/>
              </w:rPr>
              <w:t>all</w:t>
            </w:r>
            <w:r w:rsidRPr="001B4257">
              <w:rPr>
                <w:sz w:val="20"/>
                <w:szCs w:val="20"/>
              </w:rPr>
              <w:t xml:space="preserve"> premises that provide information about their rights – including their right to object.</w:t>
            </w:r>
          </w:p>
          <w:p w14:paraId="2B7FBE62" w14:textId="5EB77703" w:rsidR="003761D3" w:rsidRDefault="003761D3" w:rsidP="006B2A35">
            <w:pPr>
              <w:spacing w:line="240" w:lineRule="auto"/>
              <w:jc w:val="center"/>
              <w:rPr>
                <w:sz w:val="20"/>
                <w:szCs w:val="20"/>
              </w:rPr>
            </w:pPr>
          </w:p>
          <w:p w14:paraId="15A30373" w14:textId="0D5EFD13" w:rsidR="001B4257" w:rsidRPr="001B4257" w:rsidRDefault="001B4257" w:rsidP="00CF3AB2">
            <w:pPr>
              <w:spacing w:line="240" w:lineRule="auto"/>
              <w:jc w:val="center"/>
              <w:rPr>
                <w:b/>
                <w:sz w:val="10"/>
                <w:szCs w:val="10"/>
              </w:rPr>
            </w:pPr>
          </w:p>
        </w:tc>
      </w:tr>
      <w:tr w:rsidR="003761D3" w:rsidRPr="009A6EAE" w14:paraId="6E5C1F00" w14:textId="77777777" w:rsidTr="00742EBB">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25EBE755" w14:textId="77777777" w:rsidR="003761D3" w:rsidRDefault="003761D3" w:rsidP="003761D3">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661669F7" w14:textId="77777777" w:rsidR="003761D3" w:rsidRPr="0049256C" w:rsidRDefault="003761D3" w:rsidP="003761D3">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04EC0A84" w14:textId="77777777" w:rsidR="003761D3" w:rsidRPr="001B4257" w:rsidRDefault="003761D3" w:rsidP="003761D3">
            <w:pPr>
              <w:spacing w:line="240" w:lineRule="auto"/>
              <w:jc w:val="center"/>
              <w:rPr>
                <w:rFonts w:cs="Calibri"/>
                <w:color w:val="000000"/>
                <w:sz w:val="10"/>
                <w:szCs w:val="10"/>
                <w:lang w:eastAsia="en-GB"/>
              </w:rPr>
            </w:pPr>
          </w:p>
        </w:tc>
      </w:tr>
      <w:tr w:rsidR="003761D3" w:rsidRPr="009A6EAE" w14:paraId="07E6FEC4" w14:textId="77777777" w:rsidTr="00742EBB">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8446B0" w14:textId="6C7B4DE1" w:rsidR="003761D3" w:rsidRDefault="003761D3" w:rsidP="003761D3">
            <w:pPr>
              <w:spacing w:line="240" w:lineRule="auto"/>
              <w:ind w:left="2160"/>
              <w:rPr>
                <w:rFonts w:cs="Calibri"/>
                <w:color w:val="305496"/>
                <w:sz w:val="30"/>
                <w:szCs w:val="30"/>
                <w:lang w:eastAsia="en-GB"/>
              </w:rPr>
            </w:pPr>
            <w:r>
              <w:rPr>
                <w:rFonts w:cs="Calibri"/>
                <w:color w:val="305496"/>
                <w:sz w:val="30"/>
                <w:szCs w:val="30"/>
                <w:lang w:eastAsia="en-GB"/>
              </w:rPr>
              <w:t>Data Security</w:t>
            </w:r>
          </w:p>
        </w:tc>
        <w:tc>
          <w:tcPr>
            <w:tcW w:w="101" w:type="pct"/>
            <w:tcBorders>
              <w:left w:val="single" w:sz="4" w:space="0" w:color="auto"/>
              <w:right w:val="single" w:sz="4" w:space="0" w:color="auto"/>
            </w:tcBorders>
            <w:shd w:val="clear" w:color="auto" w:fill="auto"/>
            <w:noWrap/>
            <w:vAlign w:val="center"/>
          </w:tcPr>
          <w:p w14:paraId="0C98A6A8" w14:textId="77777777" w:rsidR="003761D3" w:rsidRPr="0049256C" w:rsidRDefault="003761D3" w:rsidP="003761D3">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A2E431" w14:textId="77777777" w:rsidR="003761D3" w:rsidRPr="001B4257" w:rsidRDefault="003761D3" w:rsidP="003761D3">
            <w:pPr>
              <w:spacing w:line="240" w:lineRule="auto"/>
              <w:jc w:val="center"/>
              <w:rPr>
                <w:rFonts w:cs="Calibri"/>
                <w:color w:val="000000"/>
                <w:sz w:val="10"/>
                <w:szCs w:val="10"/>
                <w:lang w:eastAsia="en-GB"/>
              </w:rPr>
            </w:pPr>
          </w:p>
          <w:p w14:paraId="4E191440" w14:textId="0638104A" w:rsidR="003761D3" w:rsidRDefault="003761D3" w:rsidP="00D36797">
            <w:pPr>
              <w:spacing w:line="240" w:lineRule="auto"/>
              <w:jc w:val="center"/>
              <w:rPr>
                <w:rFonts w:cs="Calibri"/>
                <w:color w:val="000000"/>
                <w:sz w:val="20"/>
                <w:szCs w:val="20"/>
                <w:lang w:eastAsia="en-GB"/>
              </w:rPr>
            </w:pPr>
            <w:r>
              <w:rPr>
                <w:rFonts w:cs="Calibri"/>
                <w:color w:val="000000"/>
                <w:sz w:val="20"/>
                <w:szCs w:val="20"/>
                <w:lang w:eastAsia="en-GB"/>
              </w:rPr>
              <w:t xml:space="preserve">All </w:t>
            </w:r>
            <w:r w:rsidR="00CF3AB2">
              <w:rPr>
                <w:rFonts w:cs="Calibri"/>
                <w:color w:val="000000"/>
                <w:sz w:val="20"/>
                <w:szCs w:val="20"/>
                <w:lang w:eastAsia="en-GB"/>
              </w:rPr>
              <w:t>signatories m</w:t>
            </w:r>
            <w:r>
              <w:rPr>
                <w:rFonts w:cs="Calibri"/>
                <w:color w:val="000000"/>
                <w:sz w:val="20"/>
                <w:szCs w:val="20"/>
                <w:lang w:eastAsia="en-GB"/>
              </w:rPr>
              <w:t>ust;</w:t>
            </w:r>
          </w:p>
          <w:p w14:paraId="0E5FD2F4" w14:textId="0D2CA5F2" w:rsidR="003761D3" w:rsidRDefault="003761D3" w:rsidP="00D36797">
            <w:pPr>
              <w:spacing w:line="240" w:lineRule="auto"/>
              <w:jc w:val="both"/>
              <w:rPr>
                <w:rFonts w:cs="Calibri"/>
                <w:color w:val="000000"/>
                <w:sz w:val="20"/>
                <w:szCs w:val="20"/>
                <w:lang w:eastAsia="en-GB"/>
              </w:rPr>
            </w:pPr>
          </w:p>
          <w:p w14:paraId="04E6FD73" w14:textId="03322691" w:rsidR="003761D3" w:rsidRPr="00485812" w:rsidRDefault="003761D3" w:rsidP="00D36797">
            <w:pPr>
              <w:pStyle w:val="ListParagraph"/>
              <w:numPr>
                <w:ilvl w:val="0"/>
                <w:numId w:val="9"/>
              </w:numPr>
              <w:spacing w:line="240" w:lineRule="auto"/>
              <w:jc w:val="both"/>
              <w:rPr>
                <w:rFonts w:cs="Calibri"/>
                <w:color w:val="000000"/>
                <w:sz w:val="20"/>
                <w:szCs w:val="20"/>
                <w:lang w:eastAsia="en-GB"/>
              </w:rPr>
            </w:pPr>
            <w:r w:rsidRPr="00485812">
              <w:rPr>
                <w:rFonts w:cs="Calibri"/>
                <w:color w:val="000000"/>
                <w:sz w:val="20"/>
                <w:szCs w:val="20"/>
                <w:lang w:eastAsia="en-GB"/>
              </w:rPr>
              <w:t xml:space="preserve">Have had </w:t>
            </w:r>
            <w:r w:rsidR="00E117CC">
              <w:rPr>
                <w:rFonts w:cs="Calibri"/>
                <w:color w:val="000000"/>
                <w:sz w:val="20"/>
                <w:szCs w:val="20"/>
                <w:lang w:eastAsia="en-GB"/>
              </w:rPr>
              <w:t>data security and protection</w:t>
            </w:r>
            <w:r w:rsidRPr="00485812">
              <w:rPr>
                <w:rFonts w:cs="Calibri"/>
                <w:color w:val="000000"/>
                <w:sz w:val="20"/>
                <w:szCs w:val="20"/>
                <w:lang w:eastAsia="en-GB"/>
              </w:rPr>
              <w:t xml:space="preserve"> training within the last 12 months</w:t>
            </w:r>
          </w:p>
          <w:p w14:paraId="3DC41084" w14:textId="2D38BF08" w:rsidR="00076E93" w:rsidRPr="001D72F0" w:rsidRDefault="003761D3" w:rsidP="001D72F0">
            <w:pPr>
              <w:pStyle w:val="ListParagraph"/>
              <w:numPr>
                <w:ilvl w:val="0"/>
                <w:numId w:val="9"/>
              </w:numPr>
              <w:spacing w:line="240" w:lineRule="auto"/>
              <w:jc w:val="both"/>
              <w:rPr>
                <w:rFonts w:cs="Calibri"/>
                <w:color w:val="000000"/>
                <w:sz w:val="20"/>
                <w:szCs w:val="20"/>
                <w:lang w:eastAsia="en-GB"/>
              </w:rPr>
            </w:pPr>
            <w:r w:rsidRPr="00485812">
              <w:rPr>
                <w:rFonts w:cs="Calibri"/>
                <w:color w:val="000000"/>
                <w:sz w:val="20"/>
                <w:szCs w:val="20"/>
                <w:lang w:eastAsia="en-GB"/>
              </w:rPr>
              <w:t>Have confidentiality clauses within their employment contract</w:t>
            </w:r>
          </w:p>
          <w:p w14:paraId="68388A5A" w14:textId="2633F0D8" w:rsidR="003761D3" w:rsidRDefault="003761D3" w:rsidP="001D72F0">
            <w:pPr>
              <w:pStyle w:val="ListParagraph"/>
              <w:numPr>
                <w:ilvl w:val="0"/>
                <w:numId w:val="9"/>
              </w:numPr>
              <w:spacing w:line="240" w:lineRule="auto"/>
              <w:jc w:val="both"/>
              <w:rPr>
                <w:rFonts w:cs="Calibri"/>
                <w:color w:val="000000"/>
                <w:sz w:val="20"/>
                <w:szCs w:val="20"/>
                <w:lang w:eastAsia="en-GB"/>
              </w:rPr>
            </w:pPr>
            <w:r>
              <w:rPr>
                <w:rFonts w:cs="Calibri"/>
                <w:color w:val="000000"/>
                <w:sz w:val="20"/>
                <w:szCs w:val="20"/>
                <w:lang w:eastAsia="en-GB"/>
              </w:rPr>
              <w:t>Have regard for</w:t>
            </w:r>
            <w:r w:rsidR="000A2D61">
              <w:rPr>
                <w:rFonts w:cs="Calibri"/>
                <w:color w:val="000000"/>
                <w:sz w:val="20"/>
                <w:szCs w:val="20"/>
                <w:lang w:eastAsia="en-GB"/>
              </w:rPr>
              <w:t xml:space="preserve"> internal protocols</w:t>
            </w:r>
            <w:r>
              <w:rPr>
                <w:rFonts w:cs="Calibri"/>
                <w:color w:val="000000"/>
                <w:sz w:val="20"/>
                <w:szCs w:val="20"/>
                <w:lang w:eastAsia="en-GB"/>
              </w:rPr>
              <w:t>, in particular;</w:t>
            </w:r>
          </w:p>
          <w:p w14:paraId="7DC7C25F" w14:textId="09FFE3E9" w:rsidR="003761D3" w:rsidRDefault="003761D3" w:rsidP="00D36797">
            <w:pPr>
              <w:spacing w:line="240" w:lineRule="auto"/>
              <w:jc w:val="center"/>
              <w:rPr>
                <w:rFonts w:cs="Calibri"/>
                <w:color w:val="000000"/>
                <w:sz w:val="20"/>
                <w:szCs w:val="20"/>
                <w:lang w:eastAsia="en-GB"/>
              </w:rPr>
            </w:pPr>
          </w:p>
          <w:p w14:paraId="3FFEBEE3" w14:textId="2186A4EC" w:rsidR="003761D3" w:rsidRPr="003761D3" w:rsidRDefault="003761D3" w:rsidP="001D72F0">
            <w:pPr>
              <w:pStyle w:val="ListParagraph"/>
              <w:numPr>
                <w:ilvl w:val="0"/>
                <w:numId w:val="15"/>
              </w:numPr>
              <w:spacing w:line="240" w:lineRule="auto"/>
              <w:jc w:val="both"/>
              <w:rPr>
                <w:rFonts w:cs="Calibri"/>
                <w:color w:val="000000"/>
                <w:sz w:val="20"/>
                <w:szCs w:val="20"/>
                <w:lang w:eastAsia="en-GB"/>
              </w:rPr>
            </w:pPr>
            <w:r w:rsidRPr="003761D3">
              <w:rPr>
                <w:rFonts w:cs="Calibri"/>
                <w:color w:val="000000"/>
                <w:sz w:val="20"/>
                <w:szCs w:val="20"/>
                <w:lang w:eastAsia="en-GB"/>
              </w:rPr>
              <w:t>Make sure that any computer screens</w:t>
            </w:r>
            <w:r w:rsidR="00F0761A">
              <w:rPr>
                <w:rFonts w:cs="Calibri"/>
                <w:color w:val="000000"/>
                <w:sz w:val="20"/>
                <w:szCs w:val="20"/>
                <w:lang w:eastAsia="en-GB"/>
              </w:rPr>
              <w:t xml:space="preserve"> used to access the exchange </w:t>
            </w:r>
            <w:r w:rsidRPr="003761D3">
              <w:rPr>
                <w:rFonts w:cs="Calibri"/>
                <w:color w:val="000000"/>
                <w:sz w:val="20"/>
                <w:szCs w:val="20"/>
                <w:lang w:eastAsia="en-GB"/>
              </w:rPr>
              <w:t>cannot be seen by anyone who does not need to know.</w:t>
            </w:r>
          </w:p>
          <w:p w14:paraId="21228478" w14:textId="31AB5F3E" w:rsidR="003761D3" w:rsidRPr="003761D3" w:rsidRDefault="003761D3" w:rsidP="001D72F0">
            <w:pPr>
              <w:pStyle w:val="ListParagraph"/>
              <w:numPr>
                <w:ilvl w:val="0"/>
                <w:numId w:val="15"/>
              </w:numPr>
              <w:spacing w:line="240" w:lineRule="auto"/>
              <w:jc w:val="both"/>
              <w:rPr>
                <w:rFonts w:cs="Calibri"/>
                <w:color w:val="000000"/>
                <w:sz w:val="20"/>
                <w:szCs w:val="20"/>
                <w:lang w:eastAsia="en-GB"/>
              </w:rPr>
            </w:pPr>
            <w:r w:rsidRPr="003761D3">
              <w:rPr>
                <w:rFonts w:cs="Calibri"/>
                <w:color w:val="000000"/>
                <w:sz w:val="20"/>
                <w:szCs w:val="20"/>
                <w:lang w:eastAsia="en-GB"/>
              </w:rPr>
              <w:t>Ensure that screens are locked when away from desk</w:t>
            </w:r>
          </w:p>
          <w:p w14:paraId="7E975CE3" w14:textId="1B96748C" w:rsidR="003761D3" w:rsidRPr="003761D3" w:rsidRDefault="000A2D61" w:rsidP="001D72F0">
            <w:pPr>
              <w:pStyle w:val="ListParagraph"/>
              <w:numPr>
                <w:ilvl w:val="0"/>
                <w:numId w:val="15"/>
              </w:numPr>
              <w:spacing w:line="240" w:lineRule="auto"/>
              <w:jc w:val="both"/>
              <w:rPr>
                <w:rFonts w:cs="Calibri"/>
                <w:color w:val="000000"/>
                <w:sz w:val="20"/>
                <w:szCs w:val="20"/>
                <w:lang w:eastAsia="en-GB"/>
              </w:rPr>
            </w:pPr>
            <w:r>
              <w:rPr>
                <w:rFonts w:cs="Calibri"/>
                <w:color w:val="000000"/>
                <w:sz w:val="20"/>
                <w:szCs w:val="20"/>
                <w:lang w:eastAsia="en-GB"/>
              </w:rPr>
              <w:t>E</w:t>
            </w:r>
            <w:r w:rsidR="003761D3" w:rsidRPr="003761D3">
              <w:rPr>
                <w:rFonts w:cs="Calibri"/>
                <w:color w:val="000000"/>
                <w:sz w:val="20"/>
                <w:szCs w:val="20"/>
                <w:lang w:eastAsia="en-GB"/>
              </w:rPr>
              <w:t>nsure that remote working practice complies with policies and procedures.</w:t>
            </w:r>
          </w:p>
          <w:p w14:paraId="0FD37F6E" w14:textId="36C84068" w:rsidR="003761D3" w:rsidRDefault="000A2D61" w:rsidP="001D72F0">
            <w:pPr>
              <w:pStyle w:val="ListParagraph"/>
              <w:numPr>
                <w:ilvl w:val="0"/>
                <w:numId w:val="15"/>
              </w:numPr>
              <w:spacing w:line="240" w:lineRule="auto"/>
              <w:jc w:val="both"/>
              <w:rPr>
                <w:rFonts w:cs="Calibri"/>
                <w:color w:val="000000"/>
                <w:sz w:val="20"/>
                <w:szCs w:val="20"/>
                <w:lang w:eastAsia="en-GB"/>
              </w:rPr>
            </w:pPr>
            <w:r>
              <w:rPr>
                <w:rFonts w:cs="Calibri"/>
                <w:color w:val="000000"/>
                <w:sz w:val="20"/>
                <w:szCs w:val="20"/>
                <w:lang w:eastAsia="en-GB"/>
              </w:rPr>
              <w:t>Take responsibility</w:t>
            </w:r>
            <w:r w:rsidR="003761D3" w:rsidRPr="003761D3">
              <w:rPr>
                <w:rFonts w:cs="Calibri"/>
                <w:color w:val="000000"/>
                <w:sz w:val="20"/>
                <w:szCs w:val="20"/>
                <w:lang w:eastAsia="en-GB"/>
              </w:rPr>
              <w:t xml:space="preserve"> for keeping Personal Confidential Information secure and confidential whilst working remotely, including preventing incidental access by others in the environment</w:t>
            </w:r>
          </w:p>
          <w:p w14:paraId="573E30E7" w14:textId="57E563F6" w:rsidR="003761D3" w:rsidRPr="003761D3" w:rsidRDefault="003761D3" w:rsidP="00CF3AB2">
            <w:pPr>
              <w:pStyle w:val="ListParagraph"/>
              <w:spacing w:line="240" w:lineRule="auto"/>
              <w:ind w:left="1080"/>
              <w:jc w:val="both"/>
              <w:rPr>
                <w:b/>
                <w:sz w:val="20"/>
                <w:szCs w:val="20"/>
              </w:rPr>
            </w:pPr>
          </w:p>
        </w:tc>
      </w:tr>
      <w:tr w:rsidR="00742EBB" w:rsidRPr="009A6EAE" w14:paraId="22E784F3" w14:textId="77777777" w:rsidTr="00742EBB">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7CB0A24D" w14:textId="77777777" w:rsidR="00742EBB" w:rsidRDefault="00742EBB" w:rsidP="003761D3">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1F4F5EC8" w14:textId="77777777" w:rsidR="00742EBB" w:rsidRPr="0049256C" w:rsidRDefault="00742EBB" w:rsidP="003761D3">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42F3ED68" w14:textId="77777777" w:rsidR="00742EBB" w:rsidRPr="006B2A35" w:rsidRDefault="00742EBB" w:rsidP="003761D3">
            <w:pPr>
              <w:spacing w:line="240" w:lineRule="auto"/>
              <w:jc w:val="center"/>
              <w:rPr>
                <w:b/>
                <w:sz w:val="20"/>
                <w:szCs w:val="20"/>
              </w:rPr>
            </w:pPr>
          </w:p>
        </w:tc>
      </w:tr>
      <w:tr w:rsidR="003761D3" w:rsidRPr="009A6EAE" w14:paraId="6E1C8F1B" w14:textId="77777777" w:rsidTr="00742EBB">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97671A" w14:textId="31FCBC6E" w:rsidR="003761D3" w:rsidRPr="00C94B7F" w:rsidRDefault="003761D3" w:rsidP="003761D3">
            <w:pPr>
              <w:spacing w:line="240" w:lineRule="auto"/>
              <w:jc w:val="right"/>
              <w:rPr>
                <w:rFonts w:cs="Calibri"/>
                <w:color w:val="305496"/>
                <w:sz w:val="30"/>
                <w:szCs w:val="30"/>
                <w:lang w:eastAsia="en-GB"/>
              </w:rPr>
            </w:pPr>
            <w:r>
              <w:rPr>
                <w:rFonts w:cs="Calibri"/>
                <w:color w:val="305496"/>
                <w:sz w:val="30"/>
                <w:szCs w:val="30"/>
                <w:lang w:eastAsia="en-GB"/>
              </w:rPr>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155B221F" w14:textId="77777777" w:rsidR="003761D3" w:rsidRPr="009A6EAE" w:rsidRDefault="003761D3" w:rsidP="003761D3">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3761D3" w:rsidRPr="006B2A35" w14:paraId="791B0150" w14:textId="77777777" w:rsidTr="000A2D61">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2A4C7B" w14:textId="77777777" w:rsidR="003761D3" w:rsidRPr="006B2A35" w:rsidRDefault="003761D3" w:rsidP="003761D3">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C4C97A" w14:textId="77777777" w:rsidR="003761D3" w:rsidRPr="006B2A35" w:rsidRDefault="003761D3" w:rsidP="003761D3">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372090A" w14:textId="77777777" w:rsidR="003761D3" w:rsidRPr="006B2A35" w:rsidRDefault="003761D3" w:rsidP="003761D3">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D1958F" w14:textId="77777777" w:rsidR="003761D3" w:rsidRPr="006B2A35" w:rsidRDefault="003761D3" w:rsidP="003761D3">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634904" w14:textId="77777777" w:rsidR="003761D3" w:rsidRPr="006B2A35" w:rsidRDefault="003761D3" w:rsidP="003761D3">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F515E3" w14:textId="77777777" w:rsidR="003761D3" w:rsidRPr="006B2A35" w:rsidRDefault="003761D3" w:rsidP="003761D3">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5593FD" w14:textId="77777777" w:rsidR="003761D3" w:rsidRPr="006B2A35" w:rsidRDefault="003761D3" w:rsidP="003761D3">
                  <w:pPr>
                    <w:spacing w:line="240" w:lineRule="auto"/>
                    <w:jc w:val="center"/>
                    <w:rPr>
                      <w:b/>
                      <w:sz w:val="20"/>
                      <w:szCs w:val="20"/>
                    </w:rPr>
                  </w:pPr>
                  <w:r w:rsidRPr="006B2A35">
                    <w:rPr>
                      <w:b/>
                      <w:sz w:val="20"/>
                      <w:szCs w:val="20"/>
                    </w:rPr>
                    <w:t>Common Law Duty of Confidentiality</w:t>
                  </w:r>
                </w:p>
              </w:tc>
            </w:tr>
            <w:tr w:rsidR="003761D3" w:rsidRPr="006B2A35" w14:paraId="5ED094EF" w14:textId="77777777" w:rsidTr="000A2D61">
              <w:tc>
                <w:tcPr>
                  <w:tcW w:w="1465" w:type="dxa"/>
                  <w:tcBorders>
                    <w:top w:val="single" w:sz="4" w:space="0" w:color="auto"/>
                    <w:left w:val="single" w:sz="4" w:space="0" w:color="auto"/>
                    <w:bottom w:val="single" w:sz="4" w:space="0" w:color="auto"/>
                    <w:right w:val="single" w:sz="4" w:space="0" w:color="auto"/>
                  </w:tcBorders>
                  <w:vAlign w:val="center"/>
                  <w:hideMark/>
                </w:tcPr>
                <w:p w14:paraId="1C0E40F1" w14:textId="77777777" w:rsidR="003761D3" w:rsidRPr="006B2A35" w:rsidRDefault="003761D3" w:rsidP="003761D3">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9DE2029" w14:textId="77777777" w:rsidR="003761D3" w:rsidRPr="006B2A35" w:rsidRDefault="003761D3" w:rsidP="003761D3">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984B118" w14:textId="77777777" w:rsidR="003761D3" w:rsidRPr="006B2A35" w:rsidRDefault="003761D3" w:rsidP="003761D3">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28AA449" w14:textId="77777777" w:rsidR="003761D3" w:rsidRPr="006B2A35" w:rsidRDefault="003761D3" w:rsidP="003761D3">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BCD51B2" w14:textId="77777777" w:rsidR="003761D3" w:rsidRPr="006B2A35" w:rsidRDefault="003761D3" w:rsidP="003761D3">
                  <w:pPr>
                    <w:spacing w:line="240" w:lineRule="auto"/>
                    <w:jc w:val="center"/>
                    <w:rPr>
                      <w:sz w:val="20"/>
                      <w:szCs w:val="20"/>
                    </w:rPr>
                  </w:pPr>
                  <w:r w:rsidRPr="006B2A35">
                    <w:rPr>
                      <w:sz w:val="20"/>
                      <w:szCs w:val="20"/>
                    </w:rPr>
                    <w:t>Art 9 (2) (h)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EC3F6F2" w14:textId="77777777" w:rsidR="003761D3" w:rsidRPr="006B2A35" w:rsidRDefault="003761D3" w:rsidP="003761D3">
                  <w:pPr>
                    <w:spacing w:line="240" w:lineRule="auto"/>
                    <w:jc w:val="center"/>
                    <w:rPr>
                      <w:sz w:val="20"/>
                      <w:szCs w:val="20"/>
                    </w:rPr>
                  </w:pPr>
                  <w:r w:rsidRPr="006B2A35">
                    <w:rPr>
                      <w:sz w:val="20"/>
                      <w:szCs w:val="20"/>
                    </w:rPr>
                    <w:t>In accordance with the law</w:t>
                  </w:r>
                </w:p>
                <w:p w14:paraId="6EE5A795" w14:textId="77777777" w:rsidR="003761D3" w:rsidRPr="006B2A35" w:rsidRDefault="003761D3" w:rsidP="003761D3">
                  <w:pPr>
                    <w:spacing w:line="240" w:lineRule="auto"/>
                    <w:jc w:val="center"/>
                    <w:rPr>
                      <w:sz w:val="20"/>
                      <w:szCs w:val="20"/>
                    </w:rPr>
                  </w:pPr>
                </w:p>
                <w:p w14:paraId="7B5B0120" w14:textId="77777777" w:rsidR="003761D3" w:rsidRPr="006B2A35" w:rsidRDefault="003761D3" w:rsidP="003761D3">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6D472E85" w14:textId="448D675B" w:rsidR="003761D3" w:rsidRPr="006B2A35" w:rsidRDefault="00C82F9B" w:rsidP="003761D3">
                  <w:pPr>
                    <w:spacing w:line="240" w:lineRule="auto"/>
                    <w:jc w:val="center"/>
                    <w:rPr>
                      <w:sz w:val="20"/>
                      <w:szCs w:val="20"/>
                    </w:rPr>
                  </w:pPr>
                  <w:r>
                    <w:rPr>
                      <w:sz w:val="20"/>
                      <w:szCs w:val="20"/>
                    </w:rPr>
                    <w:t>Established through raising patient expectations through privacy materials</w:t>
                  </w:r>
                  <w:r w:rsidR="003761D3" w:rsidRPr="006B2A35">
                    <w:rPr>
                      <w:sz w:val="20"/>
                      <w:szCs w:val="20"/>
                    </w:rPr>
                    <w:t xml:space="preserve"> </w:t>
                  </w:r>
                </w:p>
              </w:tc>
            </w:tr>
          </w:tbl>
          <w:p w14:paraId="6438B249" w14:textId="1FCC9F1F" w:rsidR="003761D3" w:rsidRPr="009A6EAE" w:rsidRDefault="003761D3" w:rsidP="003761D3">
            <w:pPr>
              <w:spacing w:line="240" w:lineRule="auto"/>
              <w:jc w:val="center"/>
              <w:rPr>
                <w:rFonts w:cs="Calibri"/>
                <w:color w:val="000000"/>
                <w:sz w:val="20"/>
                <w:szCs w:val="20"/>
                <w:lang w:eastAsia="en-GB"/>
              </w:rPr>
            </w:pPr>
          </w:p>
        </w:tc>
      </w:tr>
    </w:tbl>
    <w:p w14:paraId="54821C3D" w14:textId="3BF2B9AE" w:rsidR="003E3345" w:rsidRDefault="003E3345"/>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0A2D61" w14:paraId="46A614AA" w14:textId="77777777" w:rsidTr="002801A5">
        <w:trPr>
          <w:trHeight w:val="478"/>
        </w:trPr>
        <w:tc>
          <w:tcPr>
            <w:tcW w:w="980" w:type="pct"/>
            <w:shd w:val="clear" w:color="auto" w:fill="F2F2F2" w:themeFill="background1" w:themeFillShade="F2"/>
            <w:vAlign w:val="center"/>
          </w:tcPr>
          <w:p w14:paraId="3757B91F" w14:textId="1DBCFBE6" w:rsidR="000A2D61" w:rsidRPr="00A318B7" w:rsidRDefault="000A2D61" w:rsidP="002801A5">
            <w:pPr>
              <w:spacing w:line="240" w:lineRule="auto"/>
              <w:jc w:val="right"/>
              <w:rPr>
                <w:rFonts w:cs="Calibri"/>
                <w:color w:val="305496"/>
                <w:sz w:val="30"/>
                <w:szCs w:val="30"/>
                <w:lang w:eastAsia="en-GB"/>
              </w:rPr>
            </w:pPr>
            <w:r>
              <w:rPr>
                <w:rFonts w:cs="Calibri"/>
                <w:color w:val="305496"/>
                <w:sz w:val="30"/>
                <w:szCs w:val="30"/>
                <w:lang w:eastAsia="en-GB"/>
              </w:rPr>
              <w:t>Patient Right to Object (Information Sharing Scripts)</w:t>
            </w:r>
          </w:p>
        </w:tc>
        <w:tc>
          <w:tcPr>
            <w:tcW w:w="140" w:type="pct"/>
            <w:tcBorders>
              <w:top w:val="nil"/>
              <w:bottom w:val="nil"/>
            </w:tcBorders>
            <w:vAlign w:val="center"/>
          </w:tcPr>
          <w:p w14:paraId="3B65B5E6" w14:textId="77777777" w:rsidR="000A2D61" w:rsidRPr="00BF6D8A" w:rsidRDefault="000A2D61" w:rsidP="002801A5">
            <w:pPr>
              <w:rPr>
                <w:rFonts w:cs="Arial"/>
                <w:bCs/>
                <w:sz w:val="20"/>
                <w:szCs w:val="20"/>
              </w:rPr>
            </w:pPr>
          </w:p>
        </w:tc>
        <w:tc>
          <w:tcPr>
            <w:tcW w:w="3880" w:type="pct"/>
          </w:tcPr>
          <w:p w14:paraId="48001803" w14:textId="5024C17F" w:rsidR="000A2D61" w:rsidRPr="00BF6D8A" w:rsidRDefault="00A365CA" w:rsidP="00A365CA">
            <w:pPr>
              <w:jc w:val="center"/>
              <w:rPr>
                <w:rFonts w:cs="Arial"/>
                <w:bCs/>
                <w:sz w:val="20"/>
                <w:szCs w:val="20"/>
              </w:rPr>
            </w:pPr>
            <w:r>
              <w:rPr>
                <w:bCs/>
              </w:rPr>
              <w:t>When MSK make the initial contact with the patient, they will make them aware of their access to the GP record. This conversation must provide the patient with an opportunity to object and make them aware that more information can be found in main privacy policy.</w:t>
            </w:r>
          </w:p>
        </w:tc>
      </w:tr>
    </w:tbl>
    <w:p w14:paraId="2915E7E5" w14:textId="77777777" w:rsidR="000A2D61" w:rsidRDefault="000A2D61"/>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E77731" w:rsidRPr="00743A58" w14:paraId="2DD51D51" w14:textId="77777777" w:rsidTr="00A318B7">
        <w:trPr>
          <w:trHeight w:val="478"/>
        </w:trPr>
        <w:tc>
          <w:tcPr>
            <w:tcW w:w="980" w:type="pct"/>
            <w:shd w:val="clear" w:color="auto" w:fill="F2F2F2" w:themeFill="background1" w:themeFillShade="F2"/>
            <w:vAlign w:val="center"/>
          </w:tcPr>
          <w:p w14:paraId="489701CE" w14:textId="71840AA6" w:rsidR="00E77731" w:rsidRPr="00A318B7" w:rsidRDefault="00E77731" w:rsidP="00A318B7">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642D17FF" w14:textId="77777777" w:rsidR="00E77731" w:rsidRPr="00A12D16" w:rsidRDefault="00E77731" w:rsidP="00571B14">
            <w:pPr>
              <w:rPr>
                <w:rFonts w:cs="Arial"/>
                <w:sz w:val="20"/>
                <w:szCs w:val="20"/>
              </w:rPr>
            </w:pPr>
          </w:p>
        </w:tc>
        <w:tc>
          <w:tcPr>
            <w:tcW w:w="3880" w:type="pct"/>
          </w:tcPr>
          <w:p w14:paraId="6AD49A55" w14:textId="78AADA0A" w:rsidR="006C7BEE" w:rsidRDefault="00E77731" w:rsidP="00E77731">
            <w:pPr>
              <w:spacing w:line="276" w:lineRule="auto"/>
              <w:rPr>
                <w:rFonts w:cs="Arial"/>
                <w:sz w:val="20"/>
                <w:szCs w:val="20"/>
              </w:rPr>
            </w:pPr>
            <w:r>
              <w:rPr>
                <w:rFonts w:cs="Arial"/>
                <w:sz w:val="20"/>
                <w:szCs w:val="20"/>
              </w:rPr>
              <w:t xml:space="preserve">Emma Cooper, </w:t>
            </w:r>
            <w:r w:rsidR="00A365CA">
              <w:rPr>
                <w:rFonts w:cs="Arial"/>
                <w:sz w:val="20"/>
                <w:szCs w:val="20"/>
              </w:rPr>
              <w:t>NNPC</w:t>
            </w:r>
            <w:r>
              <w:rPr>
                <w:rFonts w:cs="Arial"/>
                <w:sz w:val="20"/>
                <w:szCs w:val="20"/>
              </w:rPr>
              <w:t xml:space="preserve"> DPO </w:t>
            </w:r>
          </w:p>
          <w:p w14:paraId="4D7BA672" w14:textId="38AC2243" w:rsidR="00A365CA" w:rsidRDefault="00A365CA" w:rsidP="00E77731">
            <w:pPr>
              <w:spacing w:line="276" w:lineRule="auto"/>
              <w:rPr>
                <w:rFonts w:cs="Arial"/>
                <w:sz w:val="20"/>
                <w:szCs w:val="20"/>
              </w:rPr>
            </w:pPr>
            <w:r>
              <w:rPr>
                <w:rFonts w:cs="Arial"/>
                <w:sz w:val="20"/>
                <w:szCs w:val="20"/>
              </w:rPr>
              <w:t>Hannah Lewis, ECCH DPO</w:t>
            </w:r>
          </w:p>
          <w:p w14:paraId="30FE7B83" w14:textId="6A842448" w:rsidR="00E77731" w:rsidRDefault="00E77731" w:rsidP="00E77731">
            <w:pPr>
              <w:spacing w:line="276" w:lineRule="auto"/>
              <w:rPr>
                <w:rFonts w:cs="Arial"/>
                <w:sz w:val="20"/>
                <w:szCs w:val="20"/>
              </w:rPr>
            </w:pPr>
          </w:p>
        </w:tc>
      </w:tr>
      <w:tr w:rsidR="006C7BEE" w:rsidRPr="00743A58" w14:paraId="2DC6A2BC" w14:textId="77777777" w:rsidTr="00A318B7">
        <w:trPr>
          <w:trHeight w:val="478"/>
        </w:trPr>
        <w:tc>
          <w:tcPr>
            <w:tcW w:w="980" w:type="pct"/>
            <w:shd w:val="clear" w:color="auto" w:fill="F2F2F2" w:themeFill="background1" w:themeFillShade="F2"/>
            <w:vAlign w:val="center"/>
          </w:tcPr>
          <w:p w14:paraId="49F6E2E2" w14:textId="750BC3DC" w:rsidR="006C7BEE" w:rsidRDefault="006C7BEE" w:rsidP="00A318B7">
            <w:pPr>
              <w:spacing w:line="240" w:lineRule="auto"/>
              <w:jc w:val="right"/>
              <w:rPr>
                <w:rFonts w:cs="Calibri"/>
                <w:color w:val="305496"/>
                <w:sz w:val="30"/>
                <w:szCs w:val="30"/>
                <w:lang w:eastAsia="en-GB"/>
              </w:rPr>
            </w:pPr>
            <w:r>
              <w:rPr>
                <w:rFonts w:cs="Calibri"/>
                <w:color w:val="305496"/>
                <w:sz w:val="30"/>
                <w:szCs w:val="30"/>
                <w:lang w:eastAsia="en-GB"/>
              </w:rPr>
              <w:t>Access Rights Requests reported to:</w:t>
            </w:r>
          </w:p>
        </w:tc>
        <w:tc>
          <w:tcPr>
            <w:tcW w:w="140" w:type="pct"/>
            <w:tcBorders>
              <w:top w:val="nil"/>
              <w:bottom w:val="nil"/>
            </w:tcBorders>
            <w:vAlign w:val="center"/>
          </w:tcPr>
          <w:p w14:paraId="1F6ACC06" w14:textId="77777777" w:rsidR="006C7BEE" w:rsidRPr="00A12D16" w:rsidRDefault="006C7BEE" w:rsidP="00571B14">
            <w:pPr>
              <w:rPr>
                <w:rFonts w:cs="Arial"/>
                <w:sz w:val="20"/>
                <w:szCs w:val="20"/>
              </w:rPr>
            </w:pPr>
          </w:p>
        </w:tc>
        <w:tc>
          <w:tcPr>
            <w:tcW w:w="3880" w:type="pct"/>
          </w:tcPr>
          <w:p w14:paraId="5F21C670" w14:textId="6BAB93B2" w:rsidR="006C7BEE" w:rsidRDefault="006C7BEE" w:rsidP="00E77731">
            <w:pPr>
              <w:spacing w:line="276" w:lineRule="auto"/>
              <w:rPr>
                <w:rFonts w:cs="Arial"/>
                <w:sz w:val="20"/>
                <w:szCs w:val="20"/>
              </w:rPr>
            </w:pPr>
            <w:r>
              <w:rPr>
                <w:rFonts w:cs="Arial"/>
                <w:sz w:val="20"/>
                <w:szCs w:val="20"/>
              </w:rPr>
              <w:t>Access requests shall be handled by each controller</w:t>
            </w:r>
            <w:r w:rsidR="00A365CA">
              <w:rPr>
                <w:rFonts w:cs="Arial"/>
                <w:sz w:val="20"/>
                <w:szCs w:val="20"/>
              </w:rPr>
              <w:t>, where either party is unsure of exemption to release i.e. serious harm, they will collaborate on the response.</w:t>
            </w:r>
            <w:r>
              <w:rPr>
                <w:rFonts w:cs="Arial"/>
                <w:sz w:val="20"/>
                <w:szCs w:val="20"/>
              </w:rPr>
              <w:t xml:space="preserve"> </w:t>
            </w:r>
          </w:p>
        </w:tc>
      </w:tr>
      <w:tr w:rsidR="00A12D16" w:rsidRPr="00743A58" w14:paraId="3C8D65E3" w14:textId="00BE5F68" w:rsidTr="00A318B7">
        <w:trPr>
          <w:trHeight w:val="478"/>
        </w:trPr>
        <w:tc>
          <w:tcPr>
            <w:tcW w:w="980" w:type="pct"/>
            <w:shd w:val="clear" w:color="auto" w:fill="F2F2F2" w:themeFill="background1" w:themeFillShade="F2"/>
            <w:vAlign w:val="center"/>
          </w:tcPr>
          <w:p w14:paraId="48F93D3E" w14:textId="77777777" w:rsidR="00A12D16" w:rsidRPr="00A12D16" w:rsidRDefault="00A12D16" w:rsidP="00A318B7">
            <w:pPr>
              <w:spacing w:line="240" w:lineRule="auto"/>
              <w:jc w:val="right"/>
              <w:rPr>
                <w:sz w:val="20"/>
                <w:szCs w:val="20"/>
              </w:rPr>
            </w:pPr>
            <w:r w:rsidRPr="00A318B7">
              <w:rPr>
                <w:rFonts w:cs="Calibri"/>
                <w:color w:val="305496"/>
                <w:sz w:val="30"/>
                <w:szCs w:val="30"/>
                <w:lang w:eastAsia="en-GB"/>
              </w:rPr>
              <w:lastRenderedPageBreak/>
              <w:t>Approved by:</w:t>
            </w:r>
            <w:r w:rsidRPr="00A12D16">
              <w:rPr>
                <w:b/>
                <w:bCs/>
                <w:sz w:val="20"/>
                <w:szCs w:val="20"/>
              </w:rPr>
              <w:t xml:space="preserve"> </w:t>
            </w:r>
          </w:p>
        </w:tc>
        <w:tc>
          <w:tcPr>
            <w:tcW w:w="140" w:type="pct"/>
            <w:tcBorders>
              <w:top w:val="nil"/>
              <w:bottom w:val="nil"/>
            </w:tcBorders>
            <w:vAlign w:val="center"/>
          </w:tcPr>
          <w:p w14:paraId="298709BD" w14:textId="65FC5A3B" w:rsidR="00A12D16" w:rsidRPr="00A12D16" w:rsidRDefault="00A12D16" w:rsidP="00571B14">
            <w:pPr>
              <w:rPr>
                <w:rFonts w:cs="Arial"/>
                <w:sz w:val="20"/>
                <w:szCs w:val="20"/>
              </w:rPr>
            </w:pPr>
          </w:p>
        </w:tc>
        <w:tc>
          <w:tcPr>
            <w:tcW w:w="3880" w:type="pct"/>
          </w:tcPr>
          <w:p w14:paraId="306C7157" w14:textId="77777777" w:rsidR="003761D3" w:rsidRDefault="003761D3" w:rsidP="003761D3">
            <w:pPr>
              <w:spacing w:line="276" w:lineRule="auto"/>
              <w:rPr>
                <w:rFonts w:cs="Arial"/>
                <w:sz w:val="20"/>
                <w:szCs w:val="20"/>
              </w:rPr>
            </w:pPr>
          </w:p>
          <w:p w14:paraId="225ED21B" w14:textId="7B1BDB4C" w:rsidR="00A12D16" w:rsidRPr="003761D3" w:rsidRDefault="00A318B7" w:rsidP="00CF3AB2">
            <w:pPr>
              <w:spacing w:line="276" w:lineRule="auto"/>
              <w:rPr>
                <w:rFonts w:cs="Arial"/>
                <w:sz w:val="20"/>
                <w:szCs w:val="20"/>
              </w:rPr>
            </w:pPr>
            <w:r w:rsidRPr="003761D3">
              <w:rPr>
                <w:rFonts w:cs="Arial"/>
                <w:sz w:val="20"/>
                <w:szCs w:val="20"/>
              </w:rPr>
              <w:t xml:space="preserve">A copy of this document should be </w:t>
            </w:r>
            <w:r w:rsidR="003761D3">
              <w:rPr>
                <w:rFonts w:cs="Arial"/>
                <w:sz w:val="20"/>
                <w:szCs w:val="20"/>
              </w:rPr>
              <w:t xml:space="preserve">provided to </w:t>
            </w:r>
            <w:r w:rsidR="000A2D61">
              <w:rPr>
                <w:rFonts w:cs="Arial"/>
                <w:sz w:val="20"/>
                <w:szCs w:val="20"/>
              </w:rPr>
              <w:t xml:space="preserve">all </w:t>
            </w:r>
            <w:r w:rsidR="00A365CA">
              <w:rPr>
                <w:rFonts w:cs="Arial"/>
                <w:sz w:val="20"/>
                <w:szCs w:val="20"/>
              </w:rPr>
              <w:t>stakeholders</w:t>
            </w:r>
          </w:p>
        </w:tc>
      </w:tr>
      <w:tr w:rsidR="00A12D16" w:rsidRPr="00743A58" w14:paraId="12E7E3AD" w14:textId="06FA74DB" w:rsidTr="00A318B7">
        <w:trPr>
          <w:trHeight w:val="339"/>
        </w:trPr>
        <w:tc>
          <w:tcPr>
            <w:tcW w:w="980" w:type="pct"/>
            <w:shd w:val="clear" w:color="auto" w:fill="F2F2F2" w:themeFill="background1" w:themeFillShade="F2"/>
            <w:vAlign w:val="center"/>
          </w:tcPr>
          <w:p w14:paraId="178A8138" w14:textId="77777777" w:rsidR="00A12D16" w:rsidRPr="00A318B7" w:rsidRDefault="00A12D16" w:rsidP="00A318B7">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378C0D52" w14:textId="03A8EDCE" w:rsidR="00A12D16" w:rsidRPr="00A12D16" w:rsidRDefault="00A12D16" w:rsidP="00571B14">
            <w:pPr>
              <w:pStyle w:val="Default"/>
              <w:spacing w:before="100" w:after="100"/>
              <w:rPr>
                <w:rFonts w:ascii="Arial Nova Light" w:hAnsi="Arial Nova Light"/>
                <w:color w:val="FF0000"/>
                <w:sz w:val="20"/>
                <w:szCs w:val="20"/>
              </w:rPr>
            </w:pPr>
          </w:p>
        </w:tc>
        <w:tc>
          <w:tcPr>
            <w:tcW w:w="3880" w:type="pct"/>
          </w:tcPr>
          <w:p w14:paraId="5161BB94" w14:textId="005ED1AE" w:rsidR="00A12D16" w:rsidRPr="00A12D16" w:rsidRDefault="00A365CA" w:rsidP="00571B14">
            <w:pPr>
              <w:pStyle w:val="Default"/>
              <w:spacing w:before="100" w:after="100"/>
              <w:rPr>
                <w:rFonts w:ascii="Arial Nova Light" w:hAnsi="Arial Nova Light"/>
                <w:color w:val="auto"/>
                <w:sz w:val="20"/>
                <w:szCs w:val="20"/>
                <w:highlight w:val="yellow"/>
              </w:rPr>
            </w:pPr>
            <w:r>
              <w:rPr>
                <w:rFonts w:ascii="Arial Nova Light" w:hAnsi="Arial Nova Light"/>
                <w:color w:val="auto"/>
                <w:sz w:val="20"/>
                <w:szCs w:val="20"/>
                <w:highlight w:val="yellow"/>
              </w:rPr>
              <w:t>October 2019</w:t>
            </w:r>
          </w:p>
        </w:tc>
      </w:tr>
      <w:tr w:rsidR="00A12D16" w:rsidRPr="008455BE" w14:paraId="73CAC5CD" w14:textId="67D5AB06" w:rsidTr="00A318B7">
        <w:trPr>
          <w:trHeight w:val="497"/>
        </w:trPr>
        <w:tc>
          <w:tcPr>
            <w:tcW w:w="980" w:type="pct"/>
            <w:shd w:val="clear" w:color="auto" w:fill="F2F2F2" w:themeFill="background1" w:themeFillShade="F2"/>
            <w:vAlign w:val="center"/>
          </w:tcPr>
          <w:p w14:paraId="65161200" w14:textId="77777777" w:rsidR="00A12D16" w:rsidRPr="00A12D16" w:rsidRDefault="00A12D16" w:rsidP="00A318B7">
            <w:pPr>
              <w:spacing w:line="240" w:lineRule="auto"/>
              <w:jc w:val="right"/>
              <w:rPr>
                <w:sz w:val="20"/>
                <w:szCs w:val="20"/>
              </w:rPr>
            </w:pPr>
            <w:r w:rsidRPr="00A318B7">
              <w:rPr>
                <w:rFonts w:cs="Calibri"/>
                <w:color w:val="305496"/>
                <w:sz w:val="30"/>
                <w:szCs w:val="30"/>
                <w:lang w:eastAsia="en-GB"/>
              </w:rPr>
              <w:t>Review date</w:t>
            </w:r>
          </w:p>
        </w:tc>
        <w:tc>
          <w:tcPr>
            <w:tcW w:w="140" w:type="pct"/>
            <w:tcBorders>
              <w:top w:val="nil"/>
              <w:bottom w:val="nil"/>
            </w:tcBorders>
            <w:vAlign w:val="center"/>
          </w:tcPr>
          <w:p w14:paraId="1ABD8602" w14:textId="61466CBB" w:rsidR="00A12D16" w:rsidRPr="00A12D16" w:rsidRDefault="00A12D16" w:rsidP="00571B14">
            <w:pPr>
              <w:pStyle w:val="Default"/>
              <w:spacing w:before="100" w:after="100"/>
              <w:rPr>
                <w:rFonts w:ascii="Arial Nova Light" w:hAnsi="Arial Nova Light"/>
                <w:color w:val="auto"/>
                <w:sz w:val="20"/>
                <w:szCs w:val="20"/>
              </w:rPr>
            </w:pPr>
          </w:p>
        </w:tc>
        <w:tc>
          <w:tcPr>
            <w:tcW w:w="3880" w:type="pct"/>
          </w:tcPr>
          <w:p w14:paraId="0B0EF0EE" w14:textId="65C62BCE" w:rsidR="00A12D16" w:rsidRPr="00A12D16" w:rsidRDefault="00A318B7" w:rsidP="00571B14">
            <w:pPr>
              <w:pStyle w:val="Default"/>
              <w:spacing w:before="100" w:after="100"/>
              <w:rPr>
                <w:rFonts w:ascii="Arial Nova Light" w:hAnsi="Arial Nova Light"/>
                <w:color w:val="auto"/>
                <w:sz w:val="20"/>
                <w:szCs w:val="20"/>
              </w:rPr>
            </w:pPr>
            <w:r w:rsidRPr="00A12D16">
              <w:rPr>
                <w:rFonts w:ascii="Arial Nova Light" w:hAnsi="Arial Nova Light"/>
                <w:color w:val="auto"/>
                <w:sz w:val="20"/>
                <w:szCs w:val="20"/>
              </w:rPr>
              <w:t>Two years from approval or at any time due to changes in legislation</w:t>
            </w:r>
          </w:p>
        </w:tc>
      </w:tr>
      <w:tr w:rsidR="00A12D16" w:rsidRPr="008455BE" w14:paraId="0500D25D" w14:textId="4D115F29" w:rsidTr="00815BA0">
        <w:trPr>
          <w:trHeight w:val="497"/>
        </w:trPr>
        <w:tc>
          <w:tcPr>
            <w:tcW w:w="980" w:type="pct"/>
            <w:shd w:val="clear" w:color="auto" w:fill="F2F2F2" w:themeFill="background1" w:themeFillShade="F2"/>
            <w:vAlign w:val="center"/>
          </w:tcPr>
          <w:p w14:paraId="451349D3" w14:textId="77777777" w:rsidR="00A12D16" w:rsidRPr="00A12D16" w:rsidRDefault="00A12D16" w:rsidP="00A318B7">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10040357" w14:textId="06BB81F0" w:rsidR="00A12D16" w:rsidRPr="00A12D16" w:rsidRDefault="00A12D16" w:rsidP="00571B14">
            <w:pPr>
              <w:pStyle w:val="Default"/>
              <w:rPr>
                <w:rFonts w:ascii="Arial Nova Light" w:hAnsi="Arial Nova Light"/>
                <w:color w:val="auto"/>
                <w:sz w:val="20"/>
                <w:szCs w:val="20"/>
              </w:rPr>
            </w:pPr>
          </w:p>
        </w:tc>
        <w:tc>
          <w:tcPr>
            <w:tcW w:w="3880" w:type="pct"/>
            <w:shd w:val="clear" w:color="auto" w:fill="auto"/>
            <w:vAlign w:val="center"/>
          </w:tcPr>
          <w:p w14:paraId="2E7C760C" w14:textId="6568FA86" w:rsidR="00A12D16" w:rsidRPr="00A12D16" w:rsidRDefault="00815BA0" w:rsidP="00B23372">
            <w:pPr>
              <w:pStyle w:val="Default"/>
              <w:rPr>
                <w:rFonts w:ascii="Arial Nova Light" w:hAnsi="Arial Nova Light"/>
                <w:color w:val="auto"/>
                <w:sz w:val="20"/>
                <w:szCs w:val="20"/>
              </w:rPr>
            </w:pPr>
            <w:r w:rsidRPr="00815BA0">
              <w:rPr>
                <w:rFonts w:ascii="Arial Nova Light" w:hAnsi="Arial Nova Light"/>
                <w:color w:val="auto"/>
                <w:sz w:val="20"/>
                <w:szCs w:val="20"/>
              </w:rPr>
              <w:t>Emma.cooper@kafico.co.uk</w:t>
            </w:r>
          </w:p>
        </w:tc>
      </w:tr>
    </w:tbl>
    <w:p w14:paraId="1EF45439" w14:textId="7A3D3FC6" w:rsidR="009074A8" w:rsidRDefault="009074A8"/>
    <w:p w14:paraId="1AC48698" w14:textId="77777777" w:rsidR="000A2D61" w:rsidRDefault="000A2D61"/>
    <w:sectPr w:rsidR="000A2D61" w:rsidSect="00363092">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A5CF" w14:textId="77777777" w:rsidR="00A0419B" w:rsidRDefault="00A0419B" w:rsidP="00371C71">
      <w:pPr>
        <w:spacing w:line="240" w:lineRule="auto"/>
      </w:pPr>
      <w:r>
        <w:separator/>
      </w:r>
    </w:p>
  </w:endnote>
  <w:endnote w:type="continuationSeparator" w:id="0">
    <w:p w14:paraId="12DDDD1D" w14:textId="77777777" w:rsidR="00A0419B" w:rsidRDefault="00A0419B" w:rsidP="00371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6569B" w14:textId="77777777" w:rsidR="00A0419B" w:rsidRDefault="00A0419B" w:rsidP="00371C71">
      <w:pPr>
        <w:spacing w:line="240" w:lineRule="auto"/>
      </w:pPr>
      <w:r>
        <w:separator/>
      </w:r>
    </w:p>
  </w:footnote>
  <w:footnote w:type="continuationSeparator" w:id="0">
    <w:p w14:paraId="2911F541" w14:textId="77777777" w:rsidR="00A0419B" w:rsidRDefault="00A0419B" w:rsidP="00371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B798" w14:textId="1E4C0985" w:rsidR="00371C71" w:rsidRDefault="00371C71" w:rsidP="00371C71">
    <w:pPr>
      <w:pStyle w:val="Header"/>
      <w:jc w:val="center"/>
    </w:pPr>
  </w:p>
  <w:p w14:paraId="02E2C26B" w14:textId="77777777" w:rsidR="00371C71" w:rsidRDefault="0037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3A3"/>
    <w:multiLevelType w:val="hybridMultilevel"/>
    <w:tmpl w:val="8C5E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363F3"/>
    <w:multiLevelType w:val="hybridMultilevel"/>
    <w:tmpl w:val="4FE69E42"/>
    <w:lvl w:ilvl="0" w:tplc="EC6C7D96">
      <w:start w:val="1"/>
      <w:numFmt w:val="bullet"/>
      <w:lvlText w:val="•"/>
      <w:lvlJc w:val="left"/>
      <w:pPr>
        <w:tabs>
          <w:tab w:val="num" w:pos="720"/>
        </w:tabs>
        <w:ind w:left="720" w:hanging="360"/>
      </w:pPr>
      <w:rPr>
        <w:rFonts w:ascii="Arial" w:hAnsi="Arial" w:cs="Times New Roman" w:hint="default"/>
      </w:rPr>
    </w:lvl>
    <w:lvl w:ilvl="1" w:tplc="4486193A">
      <w:start w:val="1"/>
      <w:numFmt w:val="bullet"/>
      <w:lvlText w:val="•"/>
      <w:lvlJc w:val="left"/>
      <w:pPr>
        <w:tabs>
          <w:tab w:val="num" w:pos="1440"/>
        </w:tabs>
        <w:ind w:left="1440" w:hanging="360"/>
      </w:pPr>
      <w:rPr>
        <w:rFonts w:ascii="Arial" w:hAnsi="Arial" w:cs="Times New Roman" w:hint="default"/>
      </w:rPr>
    </w:lvl>
    <w:lvl w:ilvl="2" w:tplc="1CAC6316">
      <w:start w:val="1"/>
      <w:numFmt w:val="bullet"/>
      <w:lvlText w:val="•"/>
      <w:lvlJc w:val="left"/>
      <w:pPr>
        <w:tabs>
          <w:tab w:val="num" w:pos="2160"/>
        </w:tabs>
        <w:ind w:left="2160" w:hanging="360"/>
      </w:pPr>
      <w:rPr>
        <w:rFonts w:ascii="Arial" w:hAnsi="Arial" w:cs="Times New Roman" w:hint="default"/>
      </w:rPr>
    </w:lvl>
    <w:lvl w:ilvl="3" w:tplc="AB708588">
      <w:start w:val="1"/>
      <w:numFmt w:val="bullet"/>
      <w:lvlText w:val="•"/>
      <w:lvlJc w:val="left"/>
      <w:pPr>
        <w:tabs>
          <w:tab w:val="num" w:pos="2880"/>
        </w:tabs>
        <w:ind w:left="2880" w:hanging="360"/>
      </w:pPr>
      <w:rPr>
        <w:rFonts w:ascii="Arial" w:hAnsi="Arial" w:cs="Times New Roman" w:hint="default"/>
      </w:rPr>
    </w:lvl>
    <w:lvl w:ilvl="4" w:tplc="45BCB85A">
      <w:start w:val="1"/>
      <w:numFmt w:val="bullet"/>
      <w:lvlText w:val="•"/>
      <w:lvlJc w:val="left"/>
      <w:pPr>
        <w:tabs>
          <w:tab w:val="num" w:pos="3600"/>
        </w:tabs>
        <w:ind w:left="3600" w:hanging="360"/>
      </w:pPr>
      <w:rPr>
        <w:rFonts w:ascii="Arial" w:hAnsi="Arial" w:cs="Times New Roman" w:hint="default"/>
      </w:rPr>
    </w:lvl>
    <w:lvl w:ilvl="5" w:tplc="C5109010">
      <w:start w:val="1"/>
      <w:numFmt w:val="bullet"/>
      <w:lvlText w:val="•"/>
      <w:lvlJc w:val="left"/>
      <w:pPr>
        <w:tabs>
          <w:tab w:val="num" w:pos="4320"/>
        </w:tabs>
        <w:ind w:left="4320" w:hanging="360"/>
      </w:pPr>
      <w:rPr>
        <w:rFonts w:ascii="Arial" w:hAnsi="Arial" w:cs="Times New Roman" w:hint="default"/>
      </w:rPr>
    </w:lvl>
    <w:lvl w:ilvl="6" w:tplc="1E805D44">
      <w:start w:val="1"/>
      <w:numFmt w:val="bullet"/>
      <w:lvlText w:val="•"/>
      <w:lvlJc w:val="left"/>
      <w:pPr>
        <w:tabs>
          <w:tab w:val="num" w:pos="5040"/>
        </w:tabs>
        <w:ind w:left="5040" w:hanging="360"/>
      </w:pPr>
      <w:rPr>
        <w:rFonts w:ascii="Arial" w:hAnsi="Arial" w:cs="Times New Roman" w:hint="default"/>
      </w:rPr>
    </w:lvl>
    <w:lvl w:ilvl="7" w:tplc="72CC71BA">
      <w:start w:val="1"/>
      <w:numFmt w:val="bullet"/>
      <w:lvlText w:val="•"/>
      <w:lvlJc w:val="left"/>
      <w:pPr>
        <w:tabs>
          <w:tab w:val="num" w:pos="5760"/>
        </w:tabs>
        <w:ind w:left="5760" w:hanging="360"/>
      </w:pPr>
      <w:rPr>
        <w:rFonts w:ascii="Arial" w:hAnsi="Arial" w:cs="Times New Roman" w:hint="default"/>
      </w:rPr>
    </w:lvl>
    <w:lvl w:ilvl="8" w:tplc="713CAAA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BAB4E9E"/>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72BED"/>
    <w:multiLevelType w:val="hybridMultilevel"/>
    <w:tmpl w:val="AB30E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22633"/>
    <w:multiLevelType w:val="hybridMultilevel"/>
    <w:tmpl w:val="70EA39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ED00C4"/>
    <w:multiLevelType w:val="hybridMultilevel"/>
    <w:tmpl w:val="0DA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97DDC"/>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40FBB"/>
    <w:multiLevelType w:val="hybridMultilevel"/>
    <w:tmpl w:val="4BD6E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C14B5"/>
    <w:multiLevelType w:val="hybridMultilevel"/>
    <w:tmpl w:val="45B6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90B40"/>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D61561"/>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7776BA"/>
    <w:multiLevelType w:val="hybridMultilevel"/>
    <w:tmpl w:val="2AE01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0831CE2"/>
    <w:multiLevelType w:val="hybridMultilevel"/>
    <w:tmpl w:val="EDA44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5B5FAF"/>
    <w:multiLevelType w:val="hybridMultilevel"/>
    <w:tmpl w:val="287A1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70A1DCA"/>
    <w:multiLevelType w:val="hybridMultilevel"/>
    <w:tmpl w:val="025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447FF"/>
    <w:multiLevelType w:val="hybridMultilevel"/>
    <w:tmpl w:val="82F44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BCE5393"/>
    <w:multiLevelType w:val="hybridMultilevel"/>
    <w:tmpl w:val="5AE0A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8"/>
  </w:num>
  <w:num w:numId="4">
    <w:abstractNumId w:val="10"/>
  </w:num>
  <w:num w:numId="5">
    <w:abstractNumId w:val="9"/>
  </w:num>
  <w:num w:numId="6">
    <w:abstractNumId w:val="2"/>
  </w:num>
  <w:num w:numId="7">
    <w:abstractNumId w:val="5"/>
  </w:num>
  <w:num w:numId="8">
    <w:abstractNumId w:val="13"/>
  </w:num>
  <w:num w:numId="9">
    <w:abstractNumId w:val="14"/>
  </w:num>
  <w:num w:numId="10">
    <w:abstractNumId w:val="6"/>
  </w:num>
  <w:num w:numId="11">
    <w:abstractNumId w:val="11"/>
  </w:num>
  <w:num w:numId="12">
    <w:abstractNumId w:val="7"/>
  </w:num>
  <w:num w:numId="13">
    <w:abstractNumId w:val="16"/>
  </w:num>
  <w:num w:numId="14">
    <w:abstractNumId w:val="3"/>
  </w:num>
  <w:num w:numId="15">
    <w:abstractNumId w:val="1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AA"/>
    <w:rsid w:val="00020AAC"/>
    <w:rsid w:val="00020ED9"/>
    <w:rsid w:val="00025412"/>
    <w:rsid w:val="0004462D"/>
    <w:rsid w:val="000452E2"/>
    <w:rsid w:val="00056F19"/>
    <w:rsid w:val="00076E93"/>
    <w:rsid w:val="000A17C4"/>
    <w:rsid w:val="000A2D61"/>
    <w:rsid w:val="000B20B6"/>
    <w:rsid w:val="000B7EAA"/>
    <w:rsid w:val="000F0BBD"/>
    <w:rsid w:val="000F2699"/>
    <w:rsid w:val="0010267B"/>
    <w:rsid w:val="00102A1A"/>
    <w:rsid w:val="001033B2"/>
    <w:rsid w:val="00124F79"/>
    <w:rsid w:val="00151426"/>
    <w:rsid w:val="00154BC5"/>
    <w:rsid w:val="00156336"/>
    <w:rsid w:val="0017600F"/>
    <w:rsid w:val="00194B89"/>
    <w:rsid w:val="001B4257"/>
    <w:rsid w:val="001D5794"/>
    <w:rsid w:val="001D72F0"/>
    <w:rsid w:val="001F6F05"/>
    <w:rsid w:val="00200390"/>
    <w:rsid w:val="00216499"/>
    <w:rsid w:val="0021767D"/>
    <w:rsid w:val="00270524"/>
    <w:rsid w:val="002D1D39"/>
    <w:rsid w:val="00306245"/>
    <w:rsid w:val="00363092"/>
    <w:rsid w:val="00371C71"/>
    <w:rsid w:val="003761D3"/>
    <w:rsid w:val="003D7217"/>
    <w:rsid w:val="003E3345"/>
    <w:rsid w:val="003E3C60"/>
    <w:rsid w:val="003F72B6"/>
    <w:rsid w:val="00422DC7"/>
    <w:rsid w:val="004409CD"/>
    <w:rsid w:val="00456CCF"/>
    <w:rsid w:val="00485812"/>
    <w:rsid w:val="004B45D2"/>
    <w:rsid w:val="005476FE"/>
    <w:rsid w:val="00565D61"/>
    <w:rsid w:val="0058099A"/>
    <w:rsid w:val="005948E7"/>
    <w:rsid w:val="005D610D"/>
    <w:rsid w:val="005F7976"/>
    <w:rsid w:val="00620F18"/>
    <w:rsid w:val="0062620E"/>
    <w:rsid w:val="00656397"/>
    <w:rsid w:val="00672A52"/>
    <w:rsid w:val="0069054D"/>
    <w:rsid w:val="006A28BE"/>
    <w:rsid w:val="006B2A35"/>
    <w:rsid w:val="006C7BEE"/>
    <w:rsid w:val="006D13C7"/>
    <w:rsid w:val="006D284C"/>
    <w:rsid w:val="006D7414"/>
    <w:rsid w:val="00742EBB"/>
    <w:rsid w:val="00745FAD"/>
    <w:rsid w:val="00754E54"/>
    <w:rsid w:val="00783A8B"/>
    <w:rsid w:val="007C0C03"/>
    <w:rsid w:val="007C758A"/>
    <w:rsid w:val="007E2F88"/>
    <w:rsid w:val="007E795B"/>
    <w:rsid w:val="007F3DE0"/>
    <w:rsid w:val="00815BA0"/>
    <w:rsid w:val="00816C15"/>
    <w:rsid w:val="008354EE"/>
    <w:rsid w:val="00857991"/>
    <w:rsid w:val="00866AA9"/>
    <w:rsid w:val="0089537D"/>
    <w:rsid w:val="008A530D"/>
    <w:rsid w:val="008B0148"/>
    <w:rsid w:val="008E28FD"/>
    <w:rsid w:val="008F0A7F"/>
    <w:rsid w:val="009074A8"/>
    <w:rsid w:val="0095054A"/>
    <w:rsid w:val="00967DCF"/>
    <w:rsid w:val="00971E63"/>
    <w:rsid w:val="009A23F5"/>
    <w:rsid w:val="009A2A1E"/>
    <w:rsid w:val="009A4791"/>
    <w:rsid w:val="009B3AEE"/>
    <w:rsid w:val="009B447D"/>
    <w:rsid w:val="009F7B2F"/>
    <w:rsid w:val="00A0419B"/>
    <w:rsid w:val="00A12D16"/>
    <w:rsid w:val="00A13544"/>
    <w:rsid w:val="00A23420"/>
    <w:rsid w:val="00A318B7"/>
    <w:rsid w:val="00A365CA"/>
    <w:rsid w:val="00AF39C7"/>
    <w:rsid w:val="00AF5C3E"/>
    <w:rsid w:val="00B216D2"/>
    <w:rsid w:val="00B23372"/>
    <w:rsid w:val="00B40243"/>
    <w:rsid w:val="00B626D7"/>
    <w:rsid w:val="00B83221"/>
    <w:rsid w:val="00B9636D"/>
    <w:rsid w:val="00BB341F"/>
    <w:rsid w:val="00BC2371"/>
    <w:rsid w:val="00BF20BD"/>
    <w:rsid w:val="00BF41AE"/>
    <w:rsid w:val="00BF6D8A"/>
    <w:rsid w:val="00C24FAA"/>
    <w:rsid w:val="00C33BC7"/>
    <w:rsid w:val="00C36A88"/>
    <w:rsid w:val="00C4327E"/>
    <w:rsid w:val="00C81417"/>
    <w:rsid w:val="00C82F9B"/>
    <w:rsid w:val="00C91EAC"/>
    <w:rsid w:val="00C94B7F"/>
    <w:rsid w:val="00CA6099"/>
    <w:rsid w:val="00CB6572"/>
    <w:rsid w:val="00CB69A8"/>
    <w:rsid w:val="00CC197B"/>
    <w:rsid w:val="00CC5336"/>
    <w:rsid w:val="00CC54F3"/>
    <w:rsid w:val="00CD7C72"/>
    <w:rsid w:val="00CF3AB2"/>
    <w:rsid w:val="00CF757F"/>
    <w:rsid w:val="00D36797"/>
    <w:rsid w:val="00D4670D"/>
    <w:rsid w:val="00D63CA1"/>
    <w:rsid w:val="00D65664"/>
    <w:rsid w:val="00D962D2"/>
    <w:rsid w:val="00DB4CB9"/>
    <w:rsid w:val="00DE1E47"/>
    <w:rsid w:val="00E117CC"/>
    <w:rsid w:val="00E35B9C"/>
    <w:rsid w:val="00E77731"/>
    <w:rsid w:val="00F0761A"/>
    <w:rsid w:val="00F373A9"/>
    <w:rsid w:val="00F408D7"/>
    <w:rsid w:val="00F65EDD"/>
    <w:rsid w:val="00F677E2"/>
    <w:rsid w:val="00F820AA"/>
    <w:rsid w:val="00FB305F"/>
    <w:rsid w:val="00FE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CDAB7"/>
  <w15:chartTrackingRefBased/>
  <w15:docId w15:val="{D8002EC4-4725-49B2-AAAE-1E40C124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0AA"/>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F820AA"/>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20AA"/>
    <w:rPr>
      <w:rFonts w:ascii="Arial Nova Light" w:eastAsia="Times New Roman" w:hAnsi="Arial Nova Light" w:cs="Times New Roman"/>
      <w:bCs/>
      <w:color w:val="4472C4"/>
      <w:sz w:val="28"/>
      <w:szCs w:val="24"/>
    </w:rPr>
  </w:style>
  <w:style w:type="character" w:styleId="Hyperlink">
    <w:name w:val="Hyperlink"/>
    <w:uiPriority w:val="99"/>
    <w:rsid w:val="00F820AA"/>
    <w:rPr>
      <w:color w:val="0000FF"/>
      <w:u w:val="single"/>
    </w:rPr>
  </w:style>
  <w:style w:type="paragraph" w:customStyle="1" w:styleId="Default">
    <w:name w:val="Default"/>
    <w:rsid w:val="008E28F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E28FD"/>
    <w:pPr>
      <w:ind w:left="720"/>
      <w:contextualSpacing/>
    </w:pPr>
  </w:style>
  <w:style w:type="table" w:styleId="TableGrid">
    <w:name w:val="Table Grid"/>
    <w:basedOn w:val="TableNormal"/>
    <w:uiPriority w:val="39"/>
    <w:rsid w:val="005F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84C"/>
    <w:rPr>
      <w:sz w:val="16"/>
      <w:szCs w:val="16"/>
    </w:rPr>
  </w:style>
  <w:style w:type="paragraph" w:styleId="CommentText">
    <w:name w:val="annotation text"/>
    <w:basedOn w:val="Normal"/>
    <w:link w:val="CommentTextChar"/>
    <w:uiPriority w:val="99"/>
    <w:semiHidden/>
    <w:unhideWhenUsed/>
    <w:rsid w:val="006D284C"/>
    <w:pPr>
      <w:spacing w:line="240" w:lineRule="auto"/>
    </w:pPr>
    <w:rPr>
      <w:sz w:val="20"/>
      <w:szCs w:val="20"/>
    </w:rPr>
  </w:style>
  <w:style w:type="character" w:customStyle="1" w:styleId="CommentTextChar">
    <w:name w:val="Comment Text Char"/>
    <w:basedOn w:val="DefaultParagraphFont"/>
    <w:link w:val="CommentText"/>
    <w:uiPriority w:val="99"/>
    <w:semiHidden/>
    <w:rsid w:val="006D284C"/>
    <w:rPr>
      <w:rFonts w:ascii="Arial Nova Light" w:eastAsia="Times New Roman" w:hAnsi="Arial Nova Light" w:cs="Times New Roman"/>
      <w:sz w:val="20"/>
      <w:szCs w:val="20"/>
    </w:rPr>
  </w:style>
  <w:style w:type="paragraph" w:styleId="CommentSubject">
    <w:name w:val="annotation subject"/>
    <w:basedOn w:val="CommentText"/>
    <w:next w:val="CommentText"/>
    <w:link w:val="CommentSubjectChar"/>
    <w:uiPriority w:val="99"/>
    <w:semiHidden/>
    <w:unhideWhenUsed/>
    <w:rsid w:val="006D284C"/>
    <w:rPr>
      <w:b/>
      <w:bCs/>
    </w:rPr>
  </w:style>
  <w:style w:type="character" w:customStyle="1" w:styleId="CommentSubjectChar">
    <w:name w:val="Comment Subject Char"/>
    <w:basedOn w:val="CommentTextChar"/>
    <w:link w:val="CommentSubject"/>
    <w:uiPriority w:val="99"/>
    <w:semiHidden/>
    <w:rsid w:val="006D284C"/>
    <w:rPr>
      <w:rFonts w:ascii="Arial Nova Light" w:eastAsia="Times New Roman" w:hAnsi="Arial Nova Light" w:cs="Times New Roman"/>
      <w:b/>
      <w:bCs/>
      <w:sz w:val="20"/>
      <w:szCs w:val="20"/>
    </w:rPr>
  </w:style>
  <w:style w:type="paragraph" w:styleId="BalloonText">
    <w:name w:val="Balloon Text"/>
    <w:basedOn w:val="Normal"/>
    <w:link w:val="BalloonTextChar"/>
    <w:uiPriority w:val="99"/>
    <w:semiHidden/>
    <w:unhideWhenUsed/>
    <w:rsid w:val="006D28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4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4B89"/>
    <w:rPr>
      <w:color w:val="605E5C"/>
      <w:shd w:val="clear" w:color="auto" w:fill="E1DFDD"/>
    </w:rPr>
  </w:style>
  <w:style w:type="paragraph" w:styleId="Header">
    <w:name w:val="header"/>
    <w:basedOn w:val="Normal"/>
    <w:link w:val="HeaderChar"/>
    <w:uiPriority w:val="99"/>
    <w:unhideWhenUsed/>
    <w:rsid w:val="00371C71"/>
    <w:pPr>
      <w:tabs>
        <w:tab w:val="center" w:pos="4513"/>
        <w:tab w:val="right" w:pos="9026"/>
      </w:tabs>
      <w:spacing w:line="240" w:lineRule="auto"/>
    </w:pPr>
  </w:style>
  <w:style w:type="character" w:customStyle="1" w:styleId="HeaderChar">
    <w:name w:val="Header Char"/>
    <w:basedOn w:val="DefaultParagraphFont"/>
    <w:link w:val="Header"/>
    <w:uiPriority w:val="99"/>
    <w:rsid w:val="00371C71"/>
    <w:rPr>
      <w:rFonts w:ascii="Arial Nova Light" w:eastAsia="Times New Roman" w:hAnsi="Arial Nova Light" w:cs="Times New Roman"/>
      <w:szCs w:val="24"/>
    </w:rPr>
  </w:style>
  <w:style w:type="paragraph" w:styleId="Footer">
    <w:name w:val="footer"/>
    <w:basedOn w:val="Normal"/>
    <w:link w:val="FooterChar"/>
    <w:uiPriority w:val="99"/>
    <w:unhideWhenUsed/>
    <w:rsid w:val="00371C71"/>
    <w:pPr>
      <w:tabs>
        <w:tab w:val="center" w:pos="4513"/>
        <w:tab w:val="right" w:pos="9026"/>
      </w:tabs>
      <w:spacing w:line="240" w:lineRule="auto"/>
    </w:pPr>
  </w:style>
  <w:style w:type="character" w:customStyle="1" w:styleId="FooterChar">
    <w:name w:val="Footer Char"/>
    <w:basedOn w:val="DefaultParagraphFont"/>
    <w:link w:val="Footer"/>
    <w:uiPriority w:val="99"/>
    <w:rsid w:val="00371C71"/>
    <w:rPr>
      <w:rFonts w:ascii="Arial Nova Light" w:eastAsia="Times New Roman" w:hAnsi="Arial Nova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53657">
      <w:bodyDiv w:val="1"/>
      <w:marLeft w:val="0"/>
      <w:marRight w:val="0"/>
      <w:marTop w:val="0"/>
      <w:marBottom w:val="0"/>
      <w:divBdr>
        <w:top w:val="none" w:sz="0" w:space="0" w:color="auto"/>
        <w:left w:val="none" w:sz="0" w:space="0" w:color="auto"/>
        <w:bottom w:val="none" w:sz="0" w:space="0" w:color="auto"/>
        <w:right w:val="none" w:sz="0" w:space="0" w:color="auto"/>
      </w:divBdr>
    </w:div>
    <w:div w:id="855851880">
      <w:bodyDiv w:val="1"/>
      <w:marLeft w:val="0"/>
      <w:marRight w:val="0"/>
      <w:marTop w:val="0"/>
      <w:marBottom w:val="0"/>
      <w:divBdr>
        <w:top w:val="none" w:sz="0" w:space="0" w:color="auto"/>
        <w:left w:val="none" w:sz="0" w:space="0" w:color="auto"/>
        <w:bottom w:val="none" w:sz="0" w:space="0" w:color="auto"/>
        <w:right w:val="none" w:sz="0" w:space="0" w:color="auto"/>
      </w:divBdr>
    </w:div>
    <w:div w:id="949505573">
      <w:bodyDiv w:val="1"/>
      <w:marLeft w:val="0"/>
      <w:marRight w:val="0"/>
      <w:marTop w:val="0"/>
      <w:marBottom w:val="0"/>
      <w:divBdr>
        <w:top w:val="none" w:sz="0" w:space="0" w:color="auto"/>
        <w:left w:val="none" w:sz="0" w:space="0" w:color="auto"/>
        <w:bottom w:val="none" w:sz="0" w:space="0" w:color="auto"/>
        <w:right w:val="none" w:sz="0" w:space="0" w:color="auto"/>
      </w:divBdr>
    </w:div>
    <w:div w:id="1476947597">
      <w:bodyDiv w:val="1"/>
      <w:marLeft w:val="0"/>
      <w:marRight w:val="0"/>
      <w:marTop w:val="0"/>
      <w:marBottom w:val="0"/>
      <w:divBdr>
        <w:top w:val="none" w:sz="0" w:space="0" w:color="auto"/>
        <w:left w:val="none" w:sz="0" w:space="0" w:color="auto"/>
        <w:bottom w:val="none" w:sz="0" w:space="0" w:color="auto"/>
        <w:right w:val="none" w:sz="0" w:space="0" w:color="auto"/>
      </w:divBdr>
    </w:div>
    <w:div w:id="21239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6C9E1-49FF-4FD7-8D69-D0E9FB15B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B43CF-1E7D-4709-9806-E7E055C7F329}">
  <ds:schemaRefs>
    <ds:schemaRef ds:uri="http://schemas.microsoft.com/sharepoint/v3/contenttype/forms"/>
  </ds:schemaRefs>
</ds:datastoreItem>
</file>

<file path=customXml/itemProps3.xml><?xml version="1.0" encoding="utf-8"?>
<ds:datastoreItem xmlns:ds="http://schemas.openxmlformats.org/officeDocument/2006/customXml" ds:itemID="{7D18541D-2800-4A71-8F36-C45DC5EDA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2</cp:revision>
  <cp:lastPrinted>2019-01-03T10:53:00Z</cp:lastPrinted>
  <dcterms:created xsi:type="dcterms:W3CDTF">2019-10-01T10:43:00Z</dcterms:created>
  <dcterms:modified xsi:type="dcterms:W3CDTF">2019-10-01T10:43:00Z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