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E265" w14:textId="77777777" w:rsidR="007C3072" w:rsidRDefault="008B35C4" w:rsidP="00E96D90">
      <w:pPr>
        <w:pStyle w:val="Heading1"/>
      </w:pPr>
      <w:r>
        <w:t xml:space="preserve">Risk Stratification </w:t>
      </w:r>
      <w:r w:rsidR="007C3072">
        <w:t>Compliance Protocol</w:t>
      </w:r>
    </w:p>
    <w:p w14:paraId="1EDB33D4" w14:textId="77777777" w:rsidR="007C3072" w:rsidRDefault="00182705" w:rsidP="00E96D90">
      <w:pPr>
        <w:pStyle w:val="Heading2"/>
      </w:pPr>
      <w:r>
        <w:t>Scope</w:t>
      </w:r>
    </w:p>
    <w:p w14:paraId="5A601E83" w14:textId="77777777" w:rsidR="007C3072" w:rsidRPr="00E96D90" w:rsidRDefault="007C3072" w:rsidP="00E96D90">
      <w:pPr>
        <w:spacing w:line="360" w:lineRule="auto"/>
        <w:rPr>
          <w:rFonts w:ascii="Arial Nova Light" w:hAnsi="Arial Nova Light"/>
        </w:rPr>
      </w:pPr>
      <w:r w:rsidRPr="00E96D90">
        <w:rPr>
          <w:rFonts w:ascii="Arial Nova Light" w:hAnsi="Arial Nova Light"/>
        </w:rPr>
        <w:t>This document serves to ensure that PSL staff are aware of the permissions and restrictions associated with the NHS s251 Risk Stratification Programme.</w:t>
      </w:r>
    </w:p>
    <w:p w14:paraId="347F60E8" w14:textId="77777777" w:rsidR="007C3072" w:rsidRDefault="007C3072" w:rsidP="00E96D90">
      <w:pPr>
        <w:spacing w:line="360" w:lineRule="auto"/>
        <w:rPr>
          <w:rFonts w:ascii="Arial Nova Light" w:hAnsi="Arial Nova Light"/>
        </w:rPr>
      </w:pPr>
      <w:r w:rsidRPr="00E96D90">
        <w:rPr>
          <w:rFonts w:ascii="Arial Nova Light" w:hAnsi="Arial Nova Light"/>
        </w:rPr>
        <w:t xml:space="preserve">The protocol should be provided to all staff involved with Eclipse Vista and periodically reviewed by the Data Protection </w:t>
      </w:r>
      <w:r w:rsidR="00182705">
        <w:rPr>
          <w:rFonts w:ascii="Arial Nova Light" w:hAnsi="Arial Nova Light"/>
        </w:rPr>
        <w:t>Officer for any relevant amendments.</w:t>
      </w:r>
    </w:p>
    <w:p w14:paraId="15B56B8A" w14:textId="77777777" w:rsidR="00182705" w:rsidRDefault="00182705" w:rsidP="00182705">
      <w:pPr>
        <w:pStyle w:val="Heading1"/>
      </w:pPr>
      <w:r>
        <w:t>Context</w:t>
      </w:r>
    </w:p>
    <w:p w14:paraId="6BEB5D01" w14:textId="77777777" w:rsidR="00182705" w:rsidRDefault="00182705" w:rsidP="00E96D90">
      <w:pPr>
        <w:spacing w:line="360" w:lineRule="auto"/>
        <w:rPr>
          <w:rFonts w:ascii="Arial Nova Light" w:hAnsi="Arial Nova Light"/>
        </w:rPr>
      </w:pPr>
      <w:r>
        <w:rPr>
          <w:rFonts w:ascii="Arial Nova Light" w:hAnsi="Arial Nova Light"/>
        </w:rPr>
        <w:t>NHS England, in accordance with their approved 251 request by the Secretary of State to support information sharing for risk stratification activity, is required to provide various assurances in relation to the organisations participating in this activity and inclusion in a register of approved organisations.</w:t>
      </w:r>
    </w:p>
    <w:p w14:paraId="3F5BE154" w14:textId="77777777" w:rsidR="00182705" w:rsidRDefault="00182705" w:rsidP="00E96D90">
      <w:pPr>
        <w:spacing w:line="360" w:lineRule="auto"/>
        <w:rPr>
          <w:rFonts w:ascii="Arial Nova Light" w:hAnsi="Arial Nova Light"/>
        </w:rPr>
      </w:pPr>
      <w:r>
        <w:rPr>
          <w:rFonts w:ascii="Arial Nova Light" w:hAnsi="Arial Nova Light"/>
        </w:rPr>
        <w:t>To that end, PSL must maintain certain compliance assurances and provide evidence to the CCGs and GPs accordingly.</w:t>
      </w:r>
    </w:p>
    <w:p w14:paraId="42E037FF" w14:textId="77777777" w:rsidR="00182705" w:rsidRDefault="00182705" w:rsidP="00E96D90">
      <w:pPr>
        <w:spacing w:line="360" w:lineRule="auto"/>
        <w:rPr>
          <w:rFonts w:ascii="Arial Nova Light" w:hAnsi="Arial Nova Light"/>
        </w:rPr>
      </w:pPr>
      <w:r>
        <w:rPr>
          <w:rFonts w:ascii="Arial Nova Light" w:hAnsi="Arial Nova Light"/>
        </w:rPr>
        <w:t>The restrictions and compliance actions are listed below</w:t>
      </w:r>
    </w:p>
    <w:tbl>
      <w:tblPr>
        <w:tblStyle w:val="TableGrid"/>
        <w:tblW w:w="0" w:type="auto"/>
        <w:tblLook w:val="04A0" w:firstRow="1" w:lastRow="0" w:firstColumn="1" w:lastColumn="0" w:noHBand="0" w:noVBand="1"/>
      </w:tblPr>
      <w:tblGrid>
        <w:gridCol w:w="6091"/>
        <w:gridCol w:w="7371"/>
      </w:tblGrid>
      <w:tr w:rsidR="00B35BE1" w14:paraId="79B06963" w14:textId="77777777" w:rsidTr="00B35BE1">
        <w:tc>
          <w:tcPr>
            <w:tcW w:w="6091" w:type="dxa"/>
            <w:vAlign w:val="center"/>
          </w:tcPr>
          <w:p w14:paraId="2ED0FB5E" w14:textId="77777777" w:rsidR="00B35BE1" w:rsidRPr="00CD34FF" w:rsidRDefault="00B35BE1" w:rsidP="00CD34FF">
            <w:pPr>
              <w:spacing w:line="360" w:lineRule="auto"/>
              <w:jc w:val="center"/>
              <w:rPr>
                <w:rFonts w:ascii="Arial Nova Light" w:hAnsi="Arial Nova Light"/>
                <w:b/>
                <w:sz w:val="24"/>
                <w:szCs w:val="24"/>
              </w:rPr>
            </w:pPr>
            <w:r w:rsidRPr="00CD34FF">
              <w:rPr>
                <w:rFonts w:ascii="Arial Nova Light" w:hAnsi="Arial Nova Light"/>
                <w:b/>
                <w:sz w:val="24"/>
                <w:szCs w:val="24"/>
              </w:rPr>
              <w:t>Restriction</w:t>
            </w:r>
          </w:p>
        </w:tc>
        <w:tc>
          <w:tcPr>
            <w:tcW w:w="7371" w:type="dxa"/>
            <w:vAlign w:val="center"/>
          </w:tcPr>
          <w:p w14:paraId="224814CD" w14:textId="77777777" w:rsidR="00B35BE1" w:rsidRPr="00CD34FF" w:rsidRDefault="00B35BE1" w:rsidP="00CD34FF">
            <w:pPr>
              <w:spacing w:line="360" w:lineRule="auto"/>
              <w:jc w:val="center"/>
              <w:rPr>
                <w:rFonts w:ascii="Arial Nova Light" w:hAnsi="Arial Nova Light"/>
                <w:b/>
                <w:sz w:val="24"/>
                <w:szCs w:val="24"/>
              </w:rPr>
            </w:pPr>
            <w:r w:rsidRPr="00CD34FF">
              <w:rPr>
                <w:rFonts w:ascii="Arial Nova Light" w:hAnsi="Arial Nova Light"/>
                <w:b/>
                <w:sz w:val="24"/>
                <w:szCs w:val="24"/>
              </w:rPr>
              <w:t>How Does PSL Comply?</w:t>
            </w:r>
          </w:p>
        </w:tc>
      </w:tr>
      <w:tr w:rsidR="00B35BE1" w14:paraId="7CDD5781" w14:textId="77777777" w:rsidTr="00B35BE1">
        <w:tc>
          <w:tcPr>
            <w:tcW w:w="6091" w:type="dxa"/>
          </w:tcPr>
          <w:p w14:paraId="7FC7E2F6" w14:textId="77777777" w:rsidR="00B35BE1" w:rsidRDefault="00B35BE1" w:rsidP="00182705">
            <w:pPr>
              <w:spacing w:line="360" w:lineRule="auto"/>
              <w:rPr>
                <w:rFonts w:ascii="Arial Nova Light" w:hAnsi="Arial Nova Light"/>
              </w:rPr>
            </w:pPr>
            <w:r>
              <w:rPr>
                <w:rFonts w:ascii="Arial Nova Light" w:hAnsi="Arial Nova Light"/>
              </w:rPr>
              <w:t>T</w:t>
            </w:r>
            <w:r w:rsidRPr="00E96D90">
              <w:rPr>
                <w:rFonts w:ascii="Arial Nova Light" w:hAnsi="Arial Nova Light"/>
              </w:rPr>
              <w:t xml:space="preserve">his approval only applies to the use of GP, SUS data (In-patient/Out-patient/A&amp;E) and the Mental Health Services Data Set.  </w:t>
            </w:r>
            <w:r>
              <w:rPr>
                <w:rFonts w:ascii="Arial Nova Light" w:hAnsi="Arial Nova Light"/>
              </w:rPr>
              <w:t>Inclusion of additional data sets must involve an NHS England / CAG application.</w:t>
            </w:r>
          </w:p>
        </w:tc>
        <w:tc>
          <w:tcPr>
            <w:tcW w:w="7371" w:type="dxa"/>
          </w:tcPr>
          <w:p w14:paraId="325AFC11" w14:textId="77777777" w:rsidR="00B35BE1" w:rsidRDefault="00B35BE1" w:rsidP="00E96D90">
            <w:pPr>
              <w:spacing w:line="360" w:lineRule="auto"/>
              <w:rPr>
                <w:rFonts w:ascii="Arial Nova Light" w:hAnsi="Arial Nova Light"/>
              </w:rPr>
            </w:pPr>
            <w:r>
              <w:rPr>
                <w:rFonts w:ascii="Arial Nova Light" w:hAnsi="Arial Nova Light"/>
              </w:rPr>
              <w:t>Eclipse Vista currently only includes GP and SUS data.</w:t>
            </w:r>
          </w:p>
          <w:p w14:paraId="6784E606" w14:textId="77777777" w:rsidR="00B35BE1" w:rsidRDefault="00B35BE1" w:rsidP="00E96D90">
            <w:pPr>
              <w:spacing w:line="360" w:lineRule="auto"/>
              <w:rPr>
                <w:rFonts w:ascii="Arial Nova Light" w:hAnsi="Arial Nova Light"/>
              </w:rPr>
            </w:pPr>
            <w:r>
              <w:rPr>
                <w:rFonts w:ascii="Arial Nova Light" w:hAnsi="Arial Nova Light"/>
              </w:rPr>
              <w:t>Any changes to the Eclipse Vista product must include review of this protocol to acknowledge Risk Stratification restrictions</w:t>
            </w:r>
          </w:p>
        </w:tc>
      </w:tr>
      <w:tr w:rsidR="00B35BE1" w14:paraId="3D208C04" w14:textId="77777777" w:rsidTr="00B35BE1">
        <w:tc>
          <w:tcPr>
            <w:tcW w:w="6091" w:type="dxa"/>
          </w:tcPr>
          <w:p w14:paraId="5272F54F" w14:textId="77777777" w:rsidR="00B35BE1" w:rsidRDefault="00B35BE1" w:rsidP="00E96D90">
            <w:pPr>
              <w:spacing w:line="360" w:lineRule="auto"/>
              <w:rPr>
                <w:rFonts w:ascii="Arial Nova Light" w:hAnsi="Arial Nova Light"/>
              </w:rPr>
            </w:pPr>
            <w:r w:rsidRPr="009F6CE5">
              <w:rPr>
                <w:rFonts w:ascii="Arial Nova Light" w:hAnsi="Arial Nova Light"/>
              </w:rPr>
              <w:t xml:space="preserve">There </w:t>
            </w:r>
            <w:r>
              <w:rPr>
                <w:rFonts w:ascii="Arial Nova Light" w:hAnsi="Arial Nova Light"/>
              </w:rPr>
              <w:t xml:space="preserve">must be </w:t>
            </w:r>
            <w:r w:rsidRPr="009F6CE5">
              <w:rPr>
                <w:rFonts w:ascii="Arial Nova Light" w:hAnsi="Arial Nova Light"/>
              </w:rPr>
              <w:t xml:space="preserve">a current and signed contract in place with the </w:t>
            </w:r>
            <w:r>
              <w:rPr>
                <w:rFonts w:ascii="Arial Nova Light" w:hAnsi="Arial Nova Light"/>
              </w:rPr>
              <w:t>CCG</w:t>
            </w:r>
          </w:p>
        </w:tc>
        <w:tc>
          <w:tcPr>
            <w:tcW w:w="7371" w:type="dxa"/>
          </w:tcPr>
          <w:p w14:paraId="1F39C4DF" w14:textId="77777777" w:rsidR="00B35BE1" w:rsidRDefault="00B35BE1" w:rsidP="00E96D90">
            <w:pPr>
              <w:spacing w:line="360" w:lineRule="auto"/>
              <w:rPr>
                <w:rFonts w:ascii="Arial Nova Light" w:hAnsi="Arial Nova Light"/>
              </w:rPr>
            </w:pPr>
            <w:r>
              <w:rPr>
                <w:rFonts w:ascii="Arial Nova Light" w:hAnsi="Arial Nova Light"/>
              </w:rPr>
              <w:t>PSL undertakes periodic reviews of active contracts to ensure that service contracts do not lapse and are up to date</w:t>
            </w:r>
          </w:p>
        </w:tc>
      </w:tr>
      <w:tr w:rsidR="00B35BE1" w14:paraId="3C4199E3" w14:textId="77777777" w:rsidTr="00B35BE1">
        <w:tc>
          <w:tcPr>
            <w:tcW w:w="6091" w:type="dxa"/>
          </w:tcPr>
          <w:p w14:paraId="24A8579C" w14:textId="77777777" w:rsidR="00B35BE1" w:rsidRDefault="00B35BE1" w:rsidP="00E96D90">
            <w:pPr>
              <w:spacing w:line="360" w:lineRule="auto"/>
              <w:rPr>
                <w:rFonts w:ascii="Arial Nova Light" w:hAnsi="Arial Nova Light"/>
              </w:rPr>
            </w:pPr>
            <w:r w:rsidRPr="009F6CE5">
              <w:rPr>
                <w:rFonts w:ascii="Arial Nova Light" w:hAnsi="Arial Nova Light"/>
              </w:rPr>
              <w:lastRenderedPageBreak/>
              <w:t>There is a data processing contract in place between the relevant practices as data controllers, the CCG (data controller for SUS/MHSDS data) and one of the named risk stratification suppliers (data processor) and this contract sets out the requirements for adequate controls and provisions for handling patient confidential data, including provisions in place in the event of a data breach and retention and destruction at termination of contract</w:t>
            </w:r>
          </w:p>
        </w:tc>
        <w:tc>
          <w:tcPr>
            <w:tcW w:w="7371" w:type="dxa"/>
          </w:tcPr>
          <w:p w14:paraId="6935D390" w14:textId="77777777" w:rsidR="00B35BE1" w:rsidRDefault="00B35BE1" w:rsidP="00E96D90">
            <w:pPr>
              <w:spacing w:line="360" w:lineRule="auto"/>
              <w:rPr>
                <w:rFonts w:ascii="Arial Nova Light" w:hAnsi="Arial Nova Light"/>
              </w:rPr>
            </w:pPr>
            <w:r>
              <w:rPr>
                <w:rFonts w:ascii="Arial Nova Light" w:hAnsi="Arial Nova Light"/>
              </w:rPr>
              <w:t>PSL ensures that processing contracts are reviewed by DPO and confirmed to be in line with Art 28 / s 59.</w:t>
            </w:r>
          </w:p>
          <w:p w14:paraId="510217A0" w14:textId="77777777" w:rsidR="00B35BE1" w:rsidRDefault="00B35BE1" w:rsidP="00E96D90">
            <w:pPr>
              <w:spacing w:line="360" w:lineRule="auto"/>
              <w:rPr>
                <w:rFonts w:ascii="Arial Nova Light" w:hAnsi="Arial Nova Light"/>
              </w:rPr>
            </w:pPr>
            <w:r>
              <w:rPr>
                <w:rFonts w:ascii="Arial Nova Light" w:hAnsi="Arial Nova Light"/>
              </w:rPr>
              <w:t>PSL undertakes periodic reviews of active contracts to ensure that service contracts do not lapse and are up to date</w:t>
            </w:r>
          </w:p>
        </w:tc>
      </w:tr>
      <w:tr w:rsidR="00B35BE1" w14:paraId="35268E27" w14:textId="77777777" w:rsidTr="00B35BE1">
        <w:tc>
          <w:tcPr>
            <w:tcW w:w="6091" w:type="dxa"/>
          </w:tcPr>
          <w:p w14:paraId="3BB9740E" w14:textId="77777777" w:rsidR="00B35BE1" w:rsidRDefault="00B35BE1" w:rsidP="00E96D90">
            <w:pPr>
              <w:spacing w:line="360" w:lineRule="auto"/>
              <w:rPr>
                <w:rFonts w:ascii="Arial Nova Light" w:hAnsi="Arial Nova Light"/>
              </w:rPr>
            </w:pPr>
            <w:r w:rsidRPr="009F6CE5">
              <w:rPr>
                <w:rFonts w:ascii="Arial Nova Light" w:hAnsi="Arial Nova Light"/>
              </w:rPr>
              <w:t xml:space="preserve">The risk stratification supplier (data processor) </w:t>
            </w:r>
            <w:r>
              <w:rPr>
                <w:rFonts w:ascii="Arial Nova Light" w:hAnsi="Arial Nova Light"/>
              </w:rPr>
              <w:t xml:space="preserve">must </w:t>
            </w:r>
            <w:r w:rsidRPr="009F6CE5">
              <w:rPr>
                <w:rFonts w:ascii="Arial Nova Light" w:hAnsi="Arial Nova Light"/>
              </w:rPr>
              <w:t>meet</w:t>
            </w:r>
            <w:r>
              <w:rPr>
                <w:rFonts w:ascii="Arial Nova Light" w:hAnsi="Arial Nova Light"/>
              </w:rPr>
              <w:t xml:space="preserve"> </w:t>
            </w:r>
            <w:r w:rsidRPr="009F6CE5">
              <w:rPr>
                <w:rFonts w:ascii="Arial Nova Light" w:hAnsi="Arial Nova Light"/>
              </w:rPr>
              <w:t>the Data Security and Protection Toolkit (DSPT) at a minimum level 2 or equivalent standard (e.g. ISO 27001 accredited</w:t>
            </w:r>
          </w:p>
        </w:tc>
        <w:tc>
          <w:tcPr>
            <w:tcW w:w="7371" w:type="dxa"/>
          </w:tcPr>
          <w:p w14:paraId="54A607B7" w14:textId="77777777" w:rsidR="00B35BE1" w:rsidRDefault="00B35BE1" w:rsidP="00E96D90">
            <w:pPr>
              <w:spacing w:line="360" w:lineRule="auto"/>
              <w:rPr>
                <w:rFonts w:ascii="Arial Nova Light" w:hAnsi="Arial Nova Light"/>
              </w:rPr>
            </w:pPr>
            <w:r>
              <w:rPr>
                <w:rFonts w:ascii="Arial Nova Light" w:hAnsi="Arial Nova Light"/>
              </w:rPr>
              <w:t>PSL submits a compliant toolkit each year</w:t>
            </w:r>
          </w:p>
        </w:tc>
      </w:tr>
      <w:tr w:rsidR="00B35BE1" w14:paraId="2CF89985" w14:textId="77777777" w:rsidTr="00B35BE1">
        <w:tc>
          <w:tcPr>
            <w:tcW w:w="6091" w:type="dxa"/>
          </w:tcPr>
          <w:p w14:paraId="23283D12" w14:textId="77777777" w:rsidR="00B35BE1" w:rsidRDefault="00B35BE1" w:rsidP="00E96D90">
            <w:pPr>
              <w:spacing w:line="360" w:lineRule="auto"/>
              <w:rPr>
                <w:rFonts w:ascii="Arial Nova Light" w:hAnsi="Arial Nova Light"/>
              </w:rPr>
            </w:pPr>
            <w:r>
              <w:rPr>
                <w:rFonts w:ascii="Arial Nova Light" w:hAnsi="Arial Nova Light"/>
              </w:rPr>
              <w:t>Suppliers must</w:t>
            </w:r>
            <w:r w:rsidRPr="009F6CE5">
              <w:rPr>
                <w:rFonts w:ascii="Arial Nova Light" w:hAnsi="Arial Nova Light"/>
              </w:rPr>
              <w:t xml:space="preserve"> have in place a process and mechanisms for handling patient objection</w:t>
            </w:r>
          </w:p>
        </w:tc>
        <w:tc>
          <w:tcPr>
            <w:tcW w:w="7371" w:type="dxa"/>
          </w:tcPr>
          <w:p w14:paraId="59BBA4C8" w14:textId="77777777" w:rsidR="00B35BE1" w:rsidRDefault="00B35BE1" w:rsidP="00E96D90">
            <w:pPr>
              <w:spacing w:line="360" w:lineRule="auto"/>
              <w:rPr>
                <w:rFonts w:ascii="Arial Nova Light" w:hAnsi="Arial Nova Light"/>
              </w:rPr>
            </w:pPr>
            <w:r>
              <w:rPr>
                <w:rFonts w:ascii="Arial Nova Light" w:hAnsi="Arial Nova Light"/>
              </w:rPr>
              <w:t>PSL processing contract details how opt out codes are observed for the system</w:t>
            </w:r>
          </w:p>
          <w:p w14:paraId="0EAD688F" w14:textId="77777777" w:rsidR="00B35BE1" w:rsidRDefault="00B35BE1" w:rsidP="00E96D90">
            <w:pPr>
              <w:spacing w:line="360" w:lineRule="auto"/>
              <w:rPr>
                <w:rFonts w:ascii="Arial Nova Light" w:hAnsi="Arial Nova Light"/>
              </w:rPr>
            </w:pPr>
            <w:r>
              <w:rPr>
                <w:rFonts w:ascii="Arial Nova Light" w:hAnsi="Arial Nova Light"/>
              </w:rPr>
              <w:t>PSL has a protocol in place for handling patient objections on an individual basis and this has been provided to all relevant staff members</w:t>
            </w:r>
          </w:p>
        </w:tc>
      </w:tr>
      <w:tr w:rsidR="00B35BE1" w14:paraId="4EF20059" w14:textId="77777777" w:rsidTr="00B35BE1">
        <w:tc>
          <w:tcPr>
            <w:tcW w:w="6091" w:type="dxa"/>
          </w:tcPr>
          <w:p w14:paraId="5826469A" w14:textId="203EC6F0" w:rsidR="00B35BE1" w:rsidRDefault="00B35BE1" w:rsidP="00E96D90">
            <w:pPr>
              <w:spacing w:line="360" w:lineRule="auto"/>
              <w:rPr>
                <w:rFonts w:ascii="Arial Nova Light" w:hAnsi="Arial Nova Light"/>
              </w:rPr>
            </w:pPr>
            <w:r>
              <w:rPr>
                <w:rFonts w:ascii="Arial Nova Light" w:hAnsi="Arial Nova Light"/>
              </w:rPr>
              <w:t xml:space="preserve">Suppliers must </w:t>
            </w:r>
            <w:r w:rsidRPr="009F6CE5">
              <w:rPr>
                <w:rFonts w:ascii="Arial Nova Light" w:hAnsi="Arial Nova Light"/>
              </w:rPr>
              <w:t>remov</w:t>
            </w:r>
            <w:r>
              <w:rPr>
                <w:rFonts w:ascii="Arial Nova Light" w:hAnsi="Arial Nova Light"/>
              </w:rPr>
              <w:t xml:space="preserve">e </w:t>
            </w:r>
            <w:r w:rsidRPr="009F6CE5">
              <w:rPr>
                <w:rFonts w:ascii="Arial Nova Light" w:hAnsi="Arial Nova Light"/>
              </w:rPr>
              <w:t>all highly sensitive data set (minimum excluded data set in Annex 3) from the risk stratification data se</w:t>
            </w:r>
            <w:r>
              <w:rPr>
                <w:rFonts w:ascii="Arial Nova Light" w:hAnsi="Arial Nova Light"/>
              </w:rPr>
              <w:t>t</w:t>
            </w:r>
          </w:p>
        </w:tc>
        <w:tc>
          <w:tcPr>
            <w:tcW w:w="7371" w:type="dxa"/>
          </w:tcPr>
          <w:p w14:paraId="394B17FD" w14:textId="4317723B" w:rsidR="00B35BE1" w:rsidRDefault="00B35BE1" w:rsidP="00E96D90">
            <w:pPr>
              <w:spacing w:line="360" w:lineRule="auto"/>
              <w:rPr>
                <w:rFonts w:ascii="Arial Nova Light" w:hAnsi="Arial Nova Light"/>
              </w:rPr>
            </w:pPr>
            <w:r>
              <w:rPr>
                <w:rFonts w:ascii="Arial Nova Light" w:hAnsi="Arial Nova Light"/>
              </w:rPr>
              <w:t>PSL periodically review the extracted data set to ensure that none of the identified data points are included</w:t>
            </w:r>
          </w:p>
          <w:p w14:paraId="75861AAC" w14:textId="5489F4BA" w:rsidR="00B35BE1" w:rsidRDefault="00B35BE1" w:rsidP="00E96D90">
            <w:pPr>
              <w:spacing w:line="360" w:lineRule="auto"/>
              <w:rPr>
                <w:rFonts w:ascii="Arial Nova Light" w:hAnsi="Arial Nova Light"/>
              </w:rPr>
            </w:pPr>
            <w:r>
              <w:rPr>
                <w:rFonts w:ascii="Arial Nova Light" w:hAnsi="Arial Nova Light"/>
              </w:rPr>
              <w:t>Any changes to data sets are made in conjunction with this protocol to ensure that they adhere with risk stratification assurance requirements</w:t>
            </w:r>
          </w:p>
          <w:p w14:paraId="4F6F6021" w14:textId="098E75D5" w:rsidR="00B35BE1" w:rsidRDefault="00B35BE1" w:rsidP="00E96D90">
            <w:pPr>
              <w:spacing w:line="360" w:lineRule="auto"/>
              <w:rPr>
                <w:rFonts w:ascii="Arial Nova Light" w:hAnsi="Arial Nova Light"/>
              </w:rPr>
            </w:pPr>
          </w:p>
        </w:tc>
      </w:tr>
      <w:tr w:rsidR="00B35BE1" w14:paraId="29B3281D" w14:textId="77777777" w:rsidTr="00B35BE1">
        <w:tc>
          <w:tcPr>
            <w:tcW w:w="6091" w:type="dxa"/>
          </w:tcPr>
          <w:p w14:paraId="35043A5D" w14:textId="11328D39" w:rsidR="00B35BE1" w:rsidRDefault="00B35BE1" w:rsidP="00E96D90">
            <w:pPr>
              <w:spacing w:line="360" w:lineRule="auto"/>
              <w:rPr>
                <w:rFonts w:ascii="Arial Nova Light" w:hAnsi="Arial Nova Light"/>
              </w:rPr>
            </w:pPr>
          </w:p>
        </w:tc>
        <w:tc>
          <w:tcPr>
            <w:tcW w:w="7371" w:type="dxa"/>
          </w:tcPr>
          <w:p w14:paraId="7E3FC810" w14:textId="77777777" w:rsidR="00B35BE1" w:rsidRDefault="00B35BE1" w:rsidP="00E96D90">
            <w:pPr>
              <w:spacing w:line="360" w:lineRule="auto"/>
              <w:rPr>
                <w:rFonts w:ascii="Arial Nova Light" w:hAnsi="Arial Nova Light"/>
              </w:rPr>
            </w:pPr>
          </w:p>
        </w:tc>
      </w:tr>
      <w:tr w:rsidR="00B35BE1" w14:paraId="0A66BA22" w14:textId="77777777" w:rsidTr="00B35BE1">
        <w:tc>
          <w:tcPr>
            <w:tcW w:w="6091" w:type="dxa"/>
          </w:tcPr>
          <w:p w14:paraId="5916A0BF" w14:textId="45A0B694" w:rsidR="00B35BE1" w:rsidRDefault="00B35BE1" w:rsidP="00E96D90">
            <w:pPr>
              <w:spacing w:line="360" w:lineRule="auto"/>
              <w:rPr>
                <w:rFonts w:ascii="Arial Nova Light" w:hAnsi="Arial Nova Light"/>
              </w:rPr>
            </w:pPr>
            <w:r w:rsidRPr="00CD34FF">
              <w:rPr>
                <w:rFonts w:ascii="Arial Nova Light" w:hAnsi="Arial Nova Light"/>
              </w:rPr>
              <w:lastRenderedPageBreak/>
              <w:t xml:space="preserve">Data </w:t>
            </w:r>
            <w:r>
              <w:rPr>
                <w:rFonts w:ascii="Arial Nova Light" w:hAnsi="Arial Nova Light"/>
              </w:rPr>
              <w:t>must be</w:t>
            </w:r>
            <w:r w:rsidRPr="00CD34FF">
              <w:rPr>
                <w:rFonts w:ascii="Arial Nova Light" w:hAnsi="Arial Nova Light"/>
              </w:rPr>
              <w:t xml:space="preserve"> received in a “de-identified data for limited access” form (i.e. NHS number as the patient identifier) or is pseudonymised on landing</w:t>
            </w:r>
            <w:r>
              <w:rPr>
                <w:rFonts w:ascii="Arial Nova Light" w:hAnsi="Arial Nova Light"/>
              </w:rPr>
              <w:t xml:space="preserve"> and p</w:t>
            </w:r>
            <w:r w:rsidRPr="00CD34FF">
              <w:rPr>
                <w:rFonts w:ascii="Arial Nova Light" w:hAnsi="Arial Nova Light"/>
              </w:rPr>
              <w:t>rocess</w:t>
            </w:r>
            <w:r>
              <w:rPr>
                <w:rFonts w:ascii="Arial Nova Light" w:hAnsi="Arial Nova Light"/>
              </w:rPr>
              <w:t>ed</w:t>
            </w:r>
            <w:r w:rsidRPr="00CD34FF">
              <w:rPr>
                <w:rFonts w:ascii="Arial Nova Light" w:hAnsi="Arial Nova Light"/>
              </w:rPr>
              <w:t xml:space="preserve"> within a “closed box” with strict </w:t>
            </w:r>
            <w:proofErr w:type="gramStart"/>
            <w:r w:rsidRPr="00CD34FF">
              <w:rPr>
                <w:rFonts w:ascii="Arial Nova Light" w:hAnsi="Arial Nova Light"/>
              </w:rPr>
              <w:t>role based</w:t>
            </w:r>
            <w:proofErr w:type="gramEnd"/>
            <w:r w:rsidRPr="00CD34FF">
              <w:rPr>
                <w:rFonts w:ascii="Arial Nova Light" w:hAnsi="Arial Nova Light"/>
              </w:rPr>
              <w:t xml:space="preserve"> access control</w:t>
            </w:r>
          </w:p>
        </w:tc>
        <w:tc>
          <w:tcPr>
            <w:tcW w:w="7371" w:type="dxa"/>
          </w:tcPr>
          <w:p w14:paraId="4AC7505B" w14:textId="77777777" w:rsidR="00B35BE1" w:rsidRDefault="00B35BE1" w:rsidP="00E96D90">
            <w:pPr>
              <w:spacing w:line="360" w:lineRule="auto"/>
              <w:rPr>
                <w:rFonts w:ascii="Arial Nova Light" w:hAnsi="Arial Nova Light"/>
              </w:rPr>
            </w:pPr>
            <w:r>
              <w:rPr>
                <w:rFonts w:ascii="Arial Nova Light" w:hAnsi="Arial Nova Light"/>
              </w:rPr>
              <w:t>PSL ensures that CCG access to data is in de-identified form only – linked by the NHS Number to the extracted patient record</w:t>
            </w:r>
          </w:p>
          <w:p w14:paraId="5421B2C6" w14:textId="76F9E50D" w:rsidR="00B35BE1" w:rsidRDefault="00B35BE1" w:rsidP="00E96D90">
            <w:pPr>
              <w:spacing w:line="360" w:lineRule="auto"/>
              <w:rPr>
                <w:rFonts w:ascii="Arial Nova Light" w:hAnsi="Arial Nova Light"/>
              </w:rPr>
            </w:pPr>
            <w:r>
              <w:rPr>
                <w:rFonts w:ascii="Arial Nova Light" w:hAnsi="Arial Nova Light"/>
              </w:rPr>
              <w:t>The data is stored in a location whereby PSL access is limited to specified individuals</w:t>
            </w:r>
          </w:p>
        </w:tc>
      </w:tr>
      <w:tr w:rsidR="00B35BE1" w14:paraId="081C3658" w14:textId="77777777" w:rsidTr="00B35BE1">
        <w:tc>
          <w:tcPr>
            <w:tcW w:w="6091" w:type="dxa"/>
          </w:tcPr>
          <w:p w14:paraId="2D304525" w14:textId="3EBF8C33" w:rsidR="00B35BE1" w:rsidRPr="00CD34FF" w:rsidRDefault="00B35BE1" w:rsidP="00E96D90">
            <w:pPr>
              <w:spacing w:line="360" w:lineRule="auto"/>
              <w:rPr>
                <w:rFonts w:ascii="Arial Nova Light" w:hAnsi="Arial Nova Light"/>
              </w:rPr>
            </w:pPr>
            <w:r w:rsidRPr="00CD34FF">
              <w:rPr>
                <w:rFonts w:ascii="Arial Nova Light" w:hAnsi="Arial Nova Light"/>
              </w:rPr>
              <w:t>Re-identification is solely for the purpose of direct care and is available only to those with a direct clinical care relationship with the patien</w:t>
            </w:r>
            <w:r>
              <w:rPr>
                <w:rFonts w:ascii="Arial Nova Light" w:hAnsi="Arial Nova Light"/>
              </w:rPr>
              <w:t>t</w:t>
            </w:r>
          </w:p>
        </w:tc>
        <w:tc>
          <w:tcPr>
            <w:tcW w:w="7371" w:type="dxa"/>
          </w:tcPr>
          <w:p w14:paraId="2FD96ECA" w14:textId="33FD8FE2" w:rsidR="00B35BE1" w:rsidRDefault="00B35BE1" w:rsidP="00E96D90">
            <w:pPr>
              <w:spacing w:line="360" w:lineRule="auto"/>
              <w:rPr>
                <w:rFonts w:ascii="Arial Nova Light" w:hAnsi="Arial Nova Light"/>
              </w:rPr>
            </w:pPr>
            <w:r>
              <w:rPr>
                <w:rFonts w:ascii="Arial Nova Light" w:hAnsi="Arial Nova Light"/>
              </w:rPr>
              <w:t>PSL ensures that access to identified data is solely for GP customers</w:t>
            </w:r>
          </w:p>
        </w:tc>
      </w:tr>
      <w:tr w:rsidR="00B35BE1" w14:paraId="1399E67A" w14:textId="77777777" w:rsidTr="00B35BE1">
        <w:tc>
          <w:tcPr>
            <w:tcW w:w="6091" w:type="dxa"/>
          </w:tcPr>
          <w:p w14:paraId="5C7CEBA5" w14:textId="2579B053" w:rsidR="00B35BE1" w:rsidRPr="00CD34FF" w:rsidRDefault="00B35BE1" w:rsidP="00E96D90">
            <w:pPr>
              <w:spacing w:line="360" w:lineRule="auto"/>
              <w:rPr>
                <w:rFonts w:ascii="Arial Nova Light" w:hAnsi="Arial Nova Light"/>
              </w:rPr>
            </w:pPr>
            <w:r>
              <w:rPr>
                <w:rFonts w:ascii="Arial Nova Light" w:hAnsi="Arial Nova Light"/>
              </w:rPr>
              <w:t>Must</w:t>
            </w:r>
            <w:r w:rsidRPr="00CD34FF">
              <w:rPr>
                <w:rFonts w:ascii="Arial Nova Light" w:hAnsi="Arial Nova Light"/>
              </w:rPr>
              <w:t xml:space="preserve"> ensure</w:t>
            </w:r>
            <w:r>
              <w:rPr>
                <w:rFonts w:ascii="Arial Nova Light" w:hAnsi="Arial Nova Light"/>
              </w:rPr>
              <w:t xml:space="preserve"> </w:t>
            </w:r>
            <w:r w:rsidRPr="00CD34FF">
              <w:rPr>
                <w:rFonts w:ascii="Arial Nova Light" w:hAnsi="Arial Nova Light"/>
              </w:rPr>
              <w:t>that all staff handling data for the purpose of risk stratification are made aware and will operate in compliance with the requirements of Section 251 approva</w:t>
            </w:r>
            <w:r>
              <w:rPr>
                <w:rFonts w:ascii="Arial Nova Light" w:hAnsi="Arial Nova Light"/>
              </w:rPr>
              <w:t>l</w:t>
            </w:r>
          </w:p>
        </w:tc>
        <w:tc>
          <w:tcPr>
            <w:tcW w:w="7371" w:type="dxa"/>
          </w:tcPr>
          <w:p w14:paraId="3F690177" w14:textId="30D908EC" w:rsidR="00B35BE1" w:rsidRDefault="00B35BE1" w:rsidP="00E96D90">
            <w:pPr>
              <w:spacing w:line="360" w:lineRule="auto"/>
              <w:rPr>
                <w:rFonts w:ascii="Arial Nova Light" w:hAnsi="Arial Nova Light"/>
              </w:rPr>
            </w:pPr>
            <w:r>
              <w:rPr>
                <w:rFonts w:ascii="Arial Nova Light" w:hAnsi="Arial Nova Light"/>
              </w:rPr>
              <w:t>This protocol is provided to all PSL staff involved with Eclipse Vista</w:t>
            </w:r>
          </w:p>
        </w:tc>
      </w:tr>
      <w:tr w:rsidR="00B35BE1" w14:paraId="097D9958" w14:textId="77777777" w:rsidTr="00B35BE1">
        <w:tc>
          <w:tcPr>
            <w:tcW w:w="6091" w:type="dxa"/>
          </w:tcPr>
          <w:p w14:paraId="69C180E1" w14:textId="7EECE95E" w:rsidR="00B35BE1" w:rsidRDefault="00B35BE1" w:rsidP="00E96D90">
            <w:pPr>
              <w:spacing w:line="360" w:lineRule="auto"/>
              <w:rPr>
                <w:rFonts w:ascii="Arial Nova Light" w:hAnsi="Arial Nova Light"/>
              </w:rPr>
            </w:pPr>
            <w:r w:rsidRPr="00CD34FF">
              <w:rPr>
                <w:rFonts w:ascii="Arial Nova Light" w:hAnsi="Arial Nova Light"/>
              </w:rPr>
              <w:t xml:space="preserve">Staff using risk stratification toolset and reports </w:t>
            </w:r>
            <w:r>
              <w:rPr>
                <w:rFonts w:ascii="Arial Nova Light" w:hAnsi="Arial Nova Light"/>
              </w:rPr>
              <w:t>must</w:t>
            </w:r>
            <w:r w:rsidRPr="00CD34FF">
              <w:rPr>
                <w:rFonts w:ascii="Arial Nova Light" w:hAnsi="Arial Nova Light"/>
              </w:rPr>
              <w:t xml:space="preserve"> receive formal training and can demonstrate they are working in compliance to the written procedure</w:t>
            </w:r>
          </w:p>
        </w:tc>
        <w:tc>
          <w:tcPr>
            <w:tcW w:w="7371" w:type="dxa"/>
          </w:tcPr>
          <w:p w14:paraId="00C423F6" w14:textId="77777777" w:rsidR="00B35BE1" w:rsidRDefault="00B35BE1" w:rsidP="00E96D90">
            <w:pPr>
              <w:spacing w:line="360" w:lineRule="auto"/>
              <w:rPr>
                <w:rFonts w:ascii="Arial Nova Light" w:hAnsi="Arial Nova Light"/>
              </w:rPr>
            </w:pPr>
            <w:r>
              <w:rPr>
                <w:rFonts w:ascii="Arial Nova Light" w:hAnsi="Arial Nova Light"/>
              </w:rPr>
              <w:t>PSL provide training in relation to risk stratification (including this protocol) to all staff involved with Eclipse Vista.</w:t>
            </w:r>
          </w:p>
          <w:p w14:paraId="3F7A2AC1" w14:textId="5DE3AAC1" w:rsidR="00B35BE1" w:rsidRDefault="00B35BE1" w:rsidP="00E96D90">
            <w:pPr>
              <w:spacing w:line="360" w:lineRule="auto"/>
              <w:rPr>
                <w:rFonts w:ascii="Arial Nova Light" w:hAnsi="Arial Nova Light"/>
              </w:rPr>
            </w:pPr>
            <w:r>
              <w:rPr>
                <w:rFonts w:ascii="Arial Nova Light" w:hAnsi="Arial Nova Light"/>
              </w:rPr>
              <w:t>Compliance with this protocol is periodically audited to ensure that assurance is in place</w:t>
            </w:r>
          </w:p>
        </w:tc>
      </w:tr>
      <w:tr w:rsidR="00B35BE1" w14:paraId="1C0129AF" w14:textId="77777777" w:rsidTr="00B35BE1">
        <w:tc>
          <w:tcPr>
            <w:tcW w:w="6091" w:type="dxa"/>
          </w:tcPr>
          <w:p w14:paraId="2A273399" w14:textId="188AF4B2" w:rsidR="00B35BE1" w:rsidRDefault="00B35BE1" w:rsidP="00E96D90">
            <w:pPr>
              <w:spacing w:line="360" w:lineRule="auto"/>
              <w:rPr>
                <w:rFonts w:ascii="Arial Nova Light" w:hAnsi="Arial Nova Light"/>
              </w:rPr>
            </w:pPr>
            <w:r w:rsidRPr="00CD34FF">
              <w:rPr>
                <w:rFonts w:ascii="Arial Nova Light" w:hAnsi="Arial Nova Light"/>
              </w:rPr>
              <w:t xml:space="preserve">Staff handling patient confidential data </w:t>
            </w:r>
            <w:r>
              <w:rPr>
                <w:rFonts w:ascii="Arial Nova Light" w:hAnsi="Arial Nova Light"/>
              </w:rPr>
              <w:t>must be</w:t>
            </w:r>
            <w:r w:rsidRPr="00CD34FF">
              <w:rPr>
                <w:rFonts w:ascii="Arial Nova Light" w:hAnsi="Arial Nova Light"/>
              </w:rPr>
              <w:t xml:space="preserve"> made aware of and </w:t>
            </w:r>
            <w:r>
              <w:rPr>
                <w:rFonts w:ascii="Arial Nova Light" w:hAnsi="Arial Nova Light"/>
              </w:rPr>
              <w:t>comply</w:t>
            </w:r>
            <w:r w:rsidRPr="00CD34FF">
              <w:rPr>
                <w:rFonts w:ascii="Arial Nova Light" w:hAnsi="Arial Nova Light"/>
              </w:rPr>
              <w:t xml:space="preserve"> with the obligations set out in the confidentiality clauses in their contract of employmen</w:t>
            </w:r>
            <w:r>
              <w:rPr>
                <w:rFonts w:ascii="Arial Nova Light" w:hAnsi="Arial Nova Light"/>
              </w:rPr>
              <w:t>t</w:t>
            </w:r>
          </w:p>
        </w:tc>
        <w:tc>
          <w:tcPr>
            <w:tcW w:w="7371" w:type="dxa"/>
          </w:tcPr>
          <w:p w14:paraId="3CF340B6" w14:textId="03FAA71C" w:rsidR="00B35BE1" w:rsidRDefault="00B35BE1" w:rsidP="00E96D90">
            <w:pPr>
              <w:spacing w:line="360" w:lineRule="auto"/>
              <w:rPr>
                <w:rFonts w:ascii="Arial Nova Light" w:hAnsi="Arial Nova Light"/>
              </w:rPr>
            </w:pPr>
            <w:r>
              <w:rPr>
                <w:rFonts w:ascii="Arial Nova Light" w:hAnsi="Arial Nova Light"/>
              </w:rPr>
              <w:t>PAL have confidentiality clauses in all employment contracts. During annual training, staff are reminded about the clauses and confidentiality in more detail</w:t>
            </w:r>
          </w:p>
        </w:tc>
      </w:tr>
    </w:tbl>
    <w:p w14:paraId="21FF5EE1" w14:textId="77777777" w:rsidR="00024612" w:rsidRPr="00E96D90" w:rsidRDefault="00024612" w:rsidP="00182705">
      <w:pPr>
        <w:spacing w:line="360" w:lineRule="auto"/>
        <w:rPr>
          <w:rFonts w:ascii="Arial Nova Light" w:hAnsi="Arial Nova Light"/>
        </w:rPr>
      </w:pPr>
    </w:p>
    <w:sectPr w:rsidR="00024612" w:rsidRPr="00E96D90" w:rsidSect="001827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36"/>
    <w:rsid w:val="00024612"/>
    <w:rsid w:val="000F2642"/>
    <w:rsid w:val="00105236"/>
    <w:rsid w:val="00182705"/>
    <w:rsid w:val="007C3072"/>
    <w:rsid w:val="008B35C4"/>
    <w:rsid w:val="009E0572"/>
    <w:rsid w:val="009F6CE5"/>
    <w:rsid w:val="00B35BE1"/>
    <w:rsid w:val="00CD34FF"/>
    <w:rsid w:val="00DA6498"/>
    <w:rsid w:val="00E9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86CC"/>
  <w15:chartTrackingRefBased/>
  <w15:docId w15:val="{12D896BF-A3A2-4766-8B30-2017FB1A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6D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D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6D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8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8189</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4</cp:revision>
  <dcterms:created xsi:type="dcterms:W3CDTF">2019-03-16T17:47:00Z</dcterms:created>
  <dcterms:modified xsi:type="dcterms:W3CDTF">2020-05-08T11:03:00Z</dcterms:modified>
</cp:coreProperties>
</file>