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443D" w14:textId="3C476278" w:rsidR="00A9388A" w:rsidRDefault="00A9388A" w:rsidP="00A9388A">
      <w:pPr>
        <w:pStyle w:val="Heading1"/>
        <w:jc w:val="center"/>
        <w:rPr>
          <w:b w:val="0"/>
          <w:bCs w:val="0"/>
          <w:color w:val="0070C0"/>
          <w:sz w:val="36"/>
          <w:szCs w:val="36"/>
        </w:rPr>
      </w:pPr>
      <w:r w:rsidRPr="00A9388A">
        <w:rPr>
          <w:b w:val="0"/>
          <w:bCs w:val="0"/>
          <w:color w:val="0070C0"/>
          <w:sz w:val="36"/>
          <w:szCs w:val="36"/>
        </w:rPr>
        <w:t xml:space="preserve">Suffolk and Norfolk DPO Cluster </w:t>
      </w:r>
      <w:r w:rsidRPr="00A9388A">
        <w:rPr>
          <w:b w:val="0"/>
          <w:bCs w:val="0"/>
          <w:color w:val="0070C0"/>
          <w:sz w:val="36"/>
          <w:szCs w:val="36"/>
        </w:rPr>
        <w:t>Data Protection Impact Assessment</w:t>
      </w:r>
    </w:p>
    <w:p w14:paraId="199966AB" w14:textId="77777777" w:rsidR="00A9388A" w:rsidRPr="00A9388A" w:rsidRDefault="00A9388A" w:rsidP="00A9388A">
      <w:pPr>
        <w:pStyle w:val="Heading1"/>
        <w:jc w:val="center"/>
        <w:rPr>
          <w:b w:val="0"/>
          <w:bCs w:val="0"/>
          <w:color w:val="0070C0"/>
          <w:sz w:val="36"/>
          <w:szCs w:val="36"/>
        </w:rPr>
      </w:pPr>
    </w:p>
    <w:p w14:paraId="12AD79DA" w14:textId="77777777" w:rsidR="00F71D97" w:rsidRDefault="00F71D97" w:rsidP="00F71D97">
      <w:pPr>
        <w:spacing w:line="360" w:lineRule="auto"/>
        <w:rPr>
          <w:rFonts w:ascii="Arial Nova Light" w:hAnsi="Arial Nova Light"/>
        </w:rPr>
      </w:pPr>
      <w:r w:rsidRPr="009820D7">
        <w:rPr>
          <w:rFonts w:ascii="Arial Nova Light" w:hAnsi="Arial Nova Light"/>
        </w:rPr>
        <w:t xml:space="preserve">This Risk Assessment provides assurance that the Suffolk, West Norfolk and North Norfolk DPO Cluster practices, have instructed their DPO </w:t>
      </w:r>
      <w:r>
        <w:rPr>
          <w:rFonts w:ascii="Arial Nova Light" w:hAnsi="Arial Nova Light"/>
        </w:rPr>
        <w:t xml:space="preserve">(Kafico Ltd) </w:t>
      </w:r>
      <w:r w:rsidRPr="009820D7">
        <w:rPr>
          <w:rFonts w:ascii="Arial Nova Light" w:hAnsi="Arial Nova Light"/>
        </w:rPr>
        <w:t>and completed an assessment of the risks to the rights and freedoms of data subjects for</w:t>
      </w:r>
      <w:r>
        <w:rPr>
          <w:rFonts w:ascii="Arial Nova Light" w:hAnsi="Arial Nova Light"/>
        </w:rPr>
        <w:t xml:space="preserve"> the following</w:t>
      </w:r>
      <w:r w:rsidRPr="009820D7">
        <w:rPr>
          <w:rFonts w:ascii="Arial Nova Light" w:hAnsi="Arial Nova Light"/>
        </w:rPr>
        <w:t>;</w:t>
      </w:r>
    </w:p>
    <w:p w14:paraId="242848E2" w14:textId="77777777" w:rsidR="00F71D97" w:rsidRPr="009820D7" w:rsidRDefault="00F71D97" w:rsidP="00F71D97">
      <w:pPr>
        <w:shd w:val="clear" w:color="auto" w:fill="DBE5F1" w:themeFill="accent1" w:themeFillTint="33"/>
        <w:spacing w:line="360" w:lineRule="auto"/>
        <w:rPr>
          <w:rFonts w:ascii="Arial Nova Light" w:hAnsi="Arial Nova Light"/>
        </w:rPr>
      </w:pPr>
      <w:r w:rsidRPr="009820D7">
        <w:rPr>
          <w:rFonts w:ascii="Arial Nova Light" w:hAnsi="Arial Nova Light"/>
        </w:rPr>
        <w:t>A data processor acting on our behalf, EMIS Health, is changing certain technical aspects of the way in which</w:t>
      </w:r>
      <w:r>
        <w:rPr>
          <w:rFonts w:ascii="Arial Nova Light" w:hAnsi="Arial Nova Light"/>
        </w:rPr>
        <w:t xml:space="preserve"> </w:t>
      </w:r>
      <w:r w:rsidRPr="009820D7">
        <w:rPr>
          <w:rFonts w:ascii="Arial Nova Light" w:hAnsi="Arial Nova Light"/>
        </w:rPr>
        <w:t xml:space="preserve">it delivers services to us (see </w:t>
      </w:r>
      <w:hyperlink r:id="rId7" w:history="1">
        <w:r w:rsidRPr="00CD1839">
          <w:rPr>
            <w:rStyle w:val="Hyperlink"/>
            <w:rFonts w:ascii="Arial Nova Light" w:hAnsi="Arial Nova Light"/>
          </w:rPr>
          <w:t>https://www.emisnug.org.uk/blog/next-generation-emis-x-announced</w:t>
        </w:r>
      </w:hyperlink>
      <w:r w:rsidRPr="009820D7">
        <w:rPr>
          <w:rFonts w:ascii="Arial Nova Light" w:hAnsi="Arial Nova Light"/>
        </w:rPr>
        <w:t>),</w:t>
      </w:r>
      <w:r>
        <w:rPr>
          <w:rFonts w:ascii="Arial Nova Light" w:hAnsi="Arial Nova Light"/>
        </w:rPr>
        <w:t xml:space="preserve"> </w:t>
      </w:r>
      <w:r w:rsidRPr="009820D7">
        <w:rPr>
          <w:rFonts w:ascii="Arial Nova Light" w:hAnsi="Arial Nova Light"/>
        </w:rPr>
        <w:t>and as part of this transition it will be moving the data which it hosts on our behalf from its own data centre to a</w:t>
      </w:r>
      <w:r>
        <w:rPr>
          <w:rFonts w:ascii="Arial Nova Light" w:hAnsi="Arial Nova Light"/>
        </w:rPr>
        <w:t xml:space="preserve"> </w:t>
      </w:r>
      <w:r w:rsidRPr="009820D7">
        <w:rPr>
          <w:rFonts w:ascii="Arial Nova Light" w:hAnsi="Arial Nova Light"/>
        </w:rPr>
        <w:t>third party data centre, which is owned and operated by Amazon Web Services (AWS).</w:t>
      </w:r>
    </w:p>
    <w:p w14:paraId="3880D1C8" w14:textId="77777777" w:rsidR="00F71D97" w:rsidRPr="009820D7" w:rsidRDefault="00F71D97" w:rsidP="00F71D97">
      <w:pPr>
        <w:shd w:val="clear" w:color="auto" w:fill="DBE5F1" w:themeFill="accent1" w:themeFillTint="33"/>
        <w:spacing w:line="360" w:lineRule="auto"/>
        <w:rPr>
          <w:rFonts w:ascii="Arial Nova Light" w:hAnsi="Arial Nova Light"/>
        </w:rPr>
      </w:pPr>
      <w:r w:rsidRPr="009820D7">
        <w:rPr>
          <w:rFonts w:ascii="Arial Nova Light" w:hAnsi="Arial Nova Light"/>
        </w:rPr>
        <w:t>Delivery of the services is subject to the terms of the GP Systems of Choice Framework (GPSOC) which is</w:t>
      </w:r>
      <w:r>
        <w:rPr>
          <w:rFonts w:ascii="Arial Nova Light" w:hAnsi="Arial Nova Light"/>
        </w:rPr>
        <w:t xml:space="preserve"> </w:t>
      </w:r>
      <w:r w:rsidRPr="009820D7">
        <w:rPr>
          <w:rFonts w:ascii="Arial Nova Light" w:hAnsi="Arial Nova Light"/>
        </w:rPr>
        <w:t>managed by NHS Digital on behalf of the Secretary of State for Health.</w:t>
      </w:r>
    </w:p>
    <w:p w14:paraId="40FCAAAA" w14:textId="77777777" w:rsidR="00F71D97" w:rsidRPr="009820D7" w:rsidRDefault="00F71D97" w:rsidP="00F71D97">
      <w:pPr>
        <w:shd w:val="clear" w:color="auto" w:fill="DBE5F1" w:themeFill="accent1" w:themeFillTint="33"/>
        <w:spacing w:line="360" w:lineRule="auto"/>
        <w:rPr>
          <w:rFonts w:ascii="Arial Nova Light" w:hAnsi="Arial Nova Light"/>
        </w:rPr>
      </w:pPr>
      <w:r w:rsidRPr="009820D7">
        <w:rPr>
          <w:rFonts w:ascii="Arial Nova Light" w:hAnsi="Arial Nova Light"/>
        </w:rPr>
        <w:t>The exercise will involve a change to the manner in which data is being processed on our behalf. Although this</w:t>
      </w:r>
      <w:r>
        <w:rPr>
          <w:rFonts w:ascii="Arial Nova Light" w:hAnsi="Arial Nova Light"/>
        </w:rPr>
        <w:t xml:space="preserve"> </w:t>
      </w:r>
      <w:r w:rsidRPr="009820D7">
        <w:rPr>
          <w:rFonts w:ascii="Arial Nova Light" w:hAnsi="Arial Nova Light"/>
        </w:rPr>
        <w:t>change does not introduce processing that is likely to result in a high risk to individuals (which would</w:t>
      </w:r>
      <w:r>
        <w:rPr>
          <w:rFonts w:ascii="Arial Nova Light" w:hAnsi="Arial Nova Light"/>
        </w:rPr>
        <w:t xml:space="preserve"> </w:t>
      </w:r>
      <w:r w:rsidRPr="009820D7">
        <w:rPr>
          <w:rFonts w:ascii="Arial Nova Light" w:hAnsi="Arial Nova Light"/>
        </w:rPr>
        <w:t>necessitate the undertaking of a DPIA), given that the data includes special category data we nevertheless</w:t>
      </w:r>
      <w:r>
        <w:rPr>
          <w:rFonts w:ascii="Arial Nova Light" w:hAnsi="Arial Nova Light"/>
        </w:rPr>
        <w:t xml:space="preserve"> </w:t>
      </w:r>
      <w:r w:rsidRPr="009820D7">
        <w:rPr>
          <w:rFonts w:ascii="Arial Nova Light" w:hAnsi="Arial Nova Light"/>
        </w:rPr>
        <w:t>feel that it is appropriate that we undertake a review.</w:t>
      </w:r>
    </w:p>
    <w:p w14:paraId="3F576522" w14:textId="77777777" w:rsidR="005B7C8F" w:rsidRDefault="005B7C8F">
      <w:pPr>
        <w:spacing w:before="1"/>
        <w:rPr>
          <w:b/>
          <w:sz w:val="11"/>
        </w:rPr>
      </w:pPr>
    </w:p>
    <w:p w14:paraId="3F576529" w14:textId="1CCB4C8B" w:rsidR="005B7C8F" w:rsidRDefault="000D1B56">
      <w:pPr>
        <w:spacing w:before="114"/>
        <w:ind w:left="100"/>
        <w:rPr>
          <w:b/>
          <w:sz w:val="18"/>
        </w:rPr>
      </w:pPr>
      <w:r>
        <w:rPr>
          <w:b/>
          <w:sz w:val="18"/>
        </w:rPr>
        <w:t>Describe the processing</w:t>
      </w:r>
    </w:p>
    <w:p w14:paraId="3F57652A" w14:textId="77777777" w:rsidR="005B7C8F" w:rsidRDefault="005B7C8F">
      <w:pPr>
        <w:spacing w:before="10"/>
        <w:rPr>
          <w:b/>
          <w:sz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9"/>
      </w:tblGrid>
      <w:tr w:rsidR="005B7C8F" w14:paraId="3F57652C" w14:textId="77777777" w:rsidTr="007B1DB1">
        <w:trPr>
          <w:trHeight w:val="861"/>
        </w:trPr>
        <w:tc>
          <w:tcPr>
            <w:tcW w:w="14459" w:type="dxa"/>
            <w:shd w:val="clear" w:color="auto" w:fill="DBE5F1" w:themeFill="accent1" w:themeFillTint="33"/>
          </w:tcPr>
          <w:p w14:paraId="3F57652B" w14:textId="77777777" w:rsidR="005B7C8F" w:rsidRDefault="000D1B56">
            <w:pPr>
              <w:pStyle w:val="TableParagraph"/>
              <w:spacing w:before="116"/>
              <w:ind w:right="259"/>
              <w:jc w:val="both"/>
              <w:rPr>
                <w:i/>
                <w:sz w:val="18"/>
              </w:rPr>
            </w:pPr>
            <w:r>
              <w:rPr>
                <w:i/>
                <w:sz w:val="18"/>
              </w:rPr>
              <w:t>Describe</w:t>
            </w:r>
            <w:r>
              <w:rPr>
                <w:i/>
                <w:spacing w:val="-2"/>
                <w:sz w:val="18"/>
              </w:rPr>
              <w:t xml:space="preserve"> </w:t>
            </w:r>
            <w:r>
              <w:rPr>
                <w:i/>
                <w:sz w:val="18"/>
              </w:rPr>
              <w:t>the</w:t>
            </w:r>
            <w:r>
              <w:rPr>
                <w:i/>
                <w:spacing w:val="-1"/>
                <w:sz w:val="18"/>
              </w:rPr>
              <w:t xml:space="preserve"> </w:t>
            </w:r>
            <w:r>
              <w:rPr>
                <w:i/>
                <w:sz w:val="18"/>
              </w:rPr>
              <w:t>nature</w:t>
            </w:r>
            <w:r>
              <w:rPr>
                <w:i/>
                <w:spacing w:val="-3"/>
                <w:sz w:val="18"/>
              </w:rPr>
              <w:t xml:space="preserve"> </w:t>
            </w:r>
            <w:r>
              <w:rPr>
                <w:i/>
                <w:sz w:val="18"/>
              </w:rPr>
              <w:t>of</w:t>
            </w:r>
            <w:r>
              <w:rPr>
                <w:i/>
                <w:spacing w:val="-1"/>
                <w:sz w:val="18"/>
              </w:rPr>
              <w:t xml:space="preserve"> </w:t>
            </w:r>
            <w:r>
              <w:rPr>
                <w:i/>
                <w:sz w:val="18"/>
              </w:rPr>
              <w:t>the</w:t>
            </w:r>
            <w:r>
              <w:rPr>
                <w:i/>
                <w:spacing w:val="-1"/>
                <w:sz w:val="18"/>
              </w:rPr>
              <w:t xml:space="preserve"> </w:t>
            </w:r>
            <w:r>
              <w:rPr>
                <w:i/>
                <w:sz w:val="18"/>
              </w:rPr>
              <w:t>processing:</w:t>
            </w:r>
            <w:r>
              <w:rPr>
                <w:i/>
                <w:spacing w:val="-1"/>
                <w:sz w:val="18"/>
              </w:rPr>
              <w:t xml:space="preserve"> </w:t>
            </w:r>
            <w:r>
              <w:rPr>
                <w:i/>
                <w:sz w:val="18"/>
              </w:rPr>
              <w:t>how</w:t>
            </w:r>
            <w:r>
              <w:rPr>
                <w:i/>
                <w:spacing w:val="-1"/>
                <w:sz w:val="18"/>
              </w:rPr>
              <w:t xml:space="preserve"> </w:t>
            </w:r>
            <w:r>
              <w:rPr>
                <w:i/>
                <w:sz w:val="18"/>
              </w:rPr>
              <w:t>will</w:t>
            </w:r>
            <w:r>
              <w:rPr>
                <w:i/>
                <w:spacing w:val="-4"/>
                <w:sz w:val="18"/>
              </w:rPr>
              <w:t xml:space="preserve"> </w:t>
            </w:r>
            <w:r>
              <w:rPr>
                <w:i/>
                <w:sz w:val="18"/>
              </w:rPr>
              <w:t>you</w:t>
            </w:r>
            <w:r>
              <w:rPr>
                <w:i/>
                <w:spacing w:val="-1"/>
                <w:sz w:val="18"/>
              </w:rPr>
              <w:t xml:space="preserve"> </w:t>
            </w:r>
            <w:r>
              <w:rPr>
                <w:i/>
                <w:sz w:val="18"/>
              </w:rPr>
              <w:t>collect,</w:t>
            </w:r>
            <w:r>
              <w:rPr>
                <w:i/>
                <w:spacing w:val="-3"/>
                <w:sz w:val="18"/>
              </w:rPr>
              <w:t xml:space="preserve"> </w:t>
            </w:r>
            <w:r>
              <w:rPr>
                <w:i/>
                <w:sz w:val="18"/>
              </w:rPr>
              <w:t>use,</w:t>
            </w:r>
            <w:r>
              <w:rPr>
                <w:i/>
                <w:spacing w:val="-3"/>
                <w:sz w:val="18"/>
              </w:rPr>
              <w:t xml:space="preserve"> </w:t>
            </w:r>
            <w:r>
              <w:rPr>
                <w:i/>
                <w:sz w:val="18"/>
              </w:rPr>
              <w:t>store</w:t>
            </w:r>
            <w:r>
              <w:rPr>
                <w:i/>
                <w:spacing w:val="-3"/>
                <w:sz w:val="18"/>
              </w:rPr>
              <w:t xml:space="preserve"> </w:t>
            </w:r>
            <w:r>
              <w:rPr>
                <w:i/>
                <w:sz w:val="18"/>
              </w:rPr>
              <w:t>and</w:t>
            </w:r>
            <w:r>
              <w:rPr>
                <w:i/>
                <w:spacing w:val="-3"/>
                <w:sz w:val="18"/>
              </w:rPr>
              <w:t xml:space="preserve"> </w:t>
            </w:r>
            <w:r>
              <w:rPr>
                <w:i/>
                <w:sz w:val="18"/>
              </w:rPr>
              <w:t>delete</w:t>
            </w:r>
            <w:r>
              <w:rPr>
                <w:i/>
                <w:spacing w:val="-3"/>
                <w:sz w:val="18"/>
              </w:rPr>
              <w:t xml:space="preserve"> </w:t>
            </w:r>
            <w:r>
              <w:rPr>
                <w:i/>
                <w:sz w:val="18"/>
              </w:rPr>
              <w:t>data?</w:t>
            </w:r>
            <w:r>
              <w:rPr>
                <w:i/>
                <w:spacing w:val="-3"/>
                <w:sz w:val="18"/>
              </w:rPr>
              <w:t xml:space="preserve"> </w:t>
            </w:r>
            <w:r>
              <w:rPr>
                <w:i/>
                <w:sz w:val="18"/>
              </w:rPr>
              <w:t>What</w:t>
            </w:r>
            <w:r>
              <w:rPr>
                <w:i/>
                <w:spacing w:val="-1"/>
                <w:sz w:val="18"/>
              </w:rPr>
              <w:t xml:space="preserve"> </w:t>
            </w:r>
            <w:r>
              <w:rPr>
                <w:i/>
                <w:sz w:val="18"/>
              </w:rPr>
              <w:t>is</w:t>
            </w:r>
            <w:r>
              <w:rPr>
                <w:i/>
                <w:spacing w:val="-4"/>
                <w:sz w:val="18"/>
              </w:rPr>
              <w:t xml:space="preserve"> </w:t>
            </w:r>
            <w:r>
              <w:rPr>
                <w:i/>
                <w:sz w:val="18"/>
              </w:rPr>
              <w:t>the</w:t>
            </w:r>
            <w:r>
              <w:rPr>
                <w:i/>
                <w:spacing w:val="-3"/>
                <w:sz w:val="18"/>
              </w:rPr>
              <w:t xml:space="preserve"> </w:t>
            </w:r>
            <w:r>
              <w:rPr>
                <w:i/>
                <w:sz w:val="18"/>
              </w:rPr>
              <w:t>source</w:t>
            </w:r>
            <w:r>
              <w:rPr>
                <w:i/>
                <w:spacing w:val="-3"/>
                <w:sz w:val="18"/>
              </w:rPr>
              <w:t xml:space="preserve"> </w:t>
            </w:r>
            <w:r>
              <w:rPr>
                <w:i/>
                <w:sz w:val="18"/>
              </w:rPr>
              <w:t xml:space="preserve">of </w:t>
            </w:r>
            <w:r>
              <w:rPr>
                <w:i/>
                <w:sz w:val="18"/>
              </w:rPr>
              <w:t>the data? Will you be sharing data with anyone? You might find it useful to refer to a flow diagram or another way of describing data flows. What types of processing identified as likely high risk are</w:t>
            </w:r>
            <w:r>
              <w:rPr>
                <w:i/>
                <w:spacing w:val="-19"/>
                <w:sz w:val="18"/>
              </w:rPr>
              <w:t xml:space="preserve"> </w:t>
            </w:r>
            <w:r>
              <w:rPr>
                <w:i/>
                <w:sz w:val="18"/>
              </w:rPr>
              <w:t>involved?</w:t>
            </w:r>
          </w:p>
        </w:tc>
      </w:tr>
      <w:tr w:rsidR="005B7C8F" w14:paraId="3F57652F" w14:textId="77777777" w:rsidTr="007B1DB1">
        <w:trPr>
          <w:trHeight w:val="1809"/>
        </w:trPr>
        <w:tc>
          <w:tcPr>
            <w:tcW w:w="14459" w:type="dxa"/>
          </w:tcPr>
          <w:p w14:paraId="3F57652D" w14:textId="77777777" w:rsidR="005B7C8F" w:rsidRDefault="000D1B56">
            <w:pPr>
              <w:pStyle w:val="TableParagraph"/>
              <w:ind w:right="177"/>
              <w:rPr>
                <w:sz w:val="18"/>
              </w:rPr>
            </w:pPr>
            <w:r>
              <w:rPr>
                <w:sz w:val="18"/>
              </w:rPr>
              <w:t xml:space="preserve">As detailed above, the data (which includes </w:t>
            </w:r>
            <w:r>
              <w:rPr>
                <w:sz w:val="18"/>
              </w:rPr>
              <w:t>special category data (i.e. health data) which is collected via the processor’s clinical IT system and which forms the patient’s medical record) will be stored in a third party data centre (which will act on the instructions of EMIS Health, who in turn wil</w:t>
            </w:r>
            <w:r>
              <w:rPr>
                <w:sz w:val="18"/>
              </w:rPr>
              <w:t>l act in accordance with instructions received from (or on behalf of) ourselves as the relevant controller pursuant to our call off contract under the GPSOC framework or as otherwise documented).</w:t>
            </w:r>
          </w:p>
          <w:p w14:paraId="3F57652E" w14:textId="77777777" w:rsidR="005B7C8F" w:rsidRDefault="000D1B56">
            <w:pPr>
              <w:pStyle w:val="TableParagraph"/>
              <w:spacing w:before="122"/>
              <w:ind w:right="345"/>
              <w:rPr>
                <w:sz w:val="18"/>
              </w:rPr>
            </w:pPr>
            <w:r>
              <w:rPr>
                <w:sz w:val="18"/>
              </w:rPr>
              <w:t xml:space="preserve">Aside from the manner in which the data is being hosted, we </w:t>
            </w:r>
            <w:r>
              <w:rPr>
                <w:sz w:val="18"/>
              </w:rPr>
              <w:t>have not identified, as part of this change, any material change to the manner in which the data is being processed (in terms of data sharing and/or use).</w:t>
            </w:r>
          </w:p>
        </w:tc>
      </w:tr>
      <w:tr w:rsidR="005B7C8F" w14:paraId="3F576531" w14:textId="77777777" w:rsidTr="007B1DB1">
        <w:trPr>
          <w:trHeight w:val="861"/>
        </w:trPr>
        <w:tc>
          <w:tcPr>
            <w:tcW w:w="14459" w:type="dxa"/>
            <w:shd w:val="clear" w:color="auto" w:fill="DBE5F1" w:themeFill="accent1" w:themeFillTint="33"/>
          </w:tcPr>
          <w:p w14:paraId="3F576530" w14:textId="77777777" w:rsidR="005B7C8F" w:rsidRDefault="000D1B56">
            <w:pPr>
              <w:pStyle w:val="TableParagraph"/>
              <w:spacing w:before="116"/>
              <w:rPr>
                <w:i/>
                <w:sz w:val="18"/>
              </w:rPr>
            </w:pPr>
            <w:r>
              <w:rPr>
                <w:i/>
                <w:sz w:val="18"/>
              </w:rPr>
              <w:t>Describe the scope of the processing: what is the nature of the data, and does it include special category or criminal offence data? How much data will you be collecting and using? How often? How long will you keep it? How many individuals are affected? Wh</w:t>
            </w:r>
            <w:r>
              <w:rPr>
                <w:i/>
                <w:sz w:val="18"/>
              </w:rPr>
              <w:t>at geographical area does it cover?</w:t>
            </w:r>
          </w:p>
        </w:tc>
      </w:tr>
      <w:tr w:rsidR="005B7C8F" w14:paraId="3F576534" w14:textId="77777777" w:rsidTr="007B1DB1">
        <w:trPr>
          <w:trHeight w:val="1393"/>
        </w:trPr>
        <w:tc>
          <w:tcPr>
            <w:tcW w:w="14459" w:type="dxa"/>
          </w:tcPr>
          <w:p w14:paraId="3F576532" w14:textId="77777777" w:rsidR="005B7C8F" w:rsidRDefault="000D1B56">
            <w:pPr>
              <w:pStyle w:val="TableParagraph"/>
              <w:ind w:right="376"/>
              <w:rPr>
                <w:sz w:val="18"/>
              </w:rPr>
            </w:pPr>
            <w:r>
              <w:rPr>
                <w:sz w:val="18"/>
              </w:rPr>
              <w:lastRenderedPageBreak/>
              <w:t>The scope of the data processing is as detailed in the relevant GP Systems of Choice contract (and related call off contract (and deed of undertaking)) or as otherwise agreed in writing between EMIS Health and ourselves</w:t>
            </w:r>
            <w:r>
              <w:rPr>
                <w:sz w:val="18"/>
              </w:rPr>
              <w:t>.</w:t>
            </w:r>
          </w:p>
          <w:p w14:paraId="3F576533" w14:textId="77777777" w:rsidR="005B7C8F" w:rsidRDefault="000D1B56">
            <w:pPr>
              <w:pStyle w:val="TableParagraph"/>
              <w:spacing w:before="120"/>
              <w:ind w:right="566"/>
              <w:rPr>
                <w:sz w:val="18"/>
              </w:rPr>
            </w:pPr>
            <w:r>
              <w:rPr>
                <w:sz w:val="18"/>
              </w:rPr>
              <w:t>As noted above, aside from the hosting element the manner in which the data is being used or otherwise processed will not materially change as a result of this change.</w:t>
            </w:r>
          </w:p>
        </w:tc>
      </w:tr>
      <w:tr w:rsidR="005B7C8F" w14:paraId="3F576536" w14:textId="77777777" w:rsidTr="007B1DB1">
        <w:trPr>
          <w:trHeight w:val="1483"/>
        </w:trPr>
        <w:tc>
          <w:tcPr>
            <w:tcW w:w="14459" w:type="dxa"/>
            <w:shd w:val="clear" w:color="auto" w:fill="DBE5F1" w:themeFill="accent1" w:themeFillTint="33"/>
          </w:tcPr>
          <w:p w14:paraId="3F576535" w14:textId="77777777" w:rsidR="005B7C8F" w:rsidRDefault="000D1B56">
            <w:pPr>
              <w:pStyle w:val="TableParagraph"/>
              <w:spacing w:before="116"/>
              <w:ind w:right="136"/>
              <w:rPr>
                <w:i/>
                <w:sz w:val="18"/>
              </w:rPr>
            </w:pPr>
            <w:r>
              <w:rPr>
                <w:i/>
                <w:sz w:val="18"/>
              </w:rPr>
              <w:t>Describe the context of the processing: what is the nature of your relationship with the individuals? How much control will they have? Would they expect you to use their data in this way? Do they include children or other vulnerable groups? Are there prior</w:t>
            </w:r>
            <w:r>
              <w:rPr>
                <w:i/>
                <w:sz w:val="18"/>
              </w:rPr>
              <w:t xml:space="preserve"> concerns over this type of processing or security flaws? Is it novel in any way? What is the current state of technology in this area? Are there any current issues of public concern that you should factor in? Are you signed up to any approved code of cond</w:t>
            </w:r>
            <w:r>
              <w:rPr>
                <w:i/>
                <w:sz w:val="18"/>
              </w:rPr>
              <w:t>uct or certification scheme (once any have been approved)?</w:t>
            </w:r>
          </w:p>
        </w:tc>
      </w:tr>
      <w:tr w:rsidR="005B7C8F" w14:paraId="3F57653C" w14:textId="77777777" w:rsidTr="007B1DB1">
        <w:trPr>
          <w:trHeight w:val="2488"/>
        </w:trPr>
        <w:tc>
          <w:tcPr>
            <w:tcW w:w="14459" w:type="dxa"/>
          </w:tcPr>
          <w:p w14:paraId="3F576537" w14:textId="77777777" w:rsidR="005B7C8F" w:rsidRDefault="000D1B56">
            <w:pPr>
              <w:pStyle w:val="TableParagraph"/>
              <w:ind w:right="136"/>
              <w:rPr>
                <w:sz w:val="18"/>
              </w:rPr>
            </w:pPr>
            <w:r>
              <w:rPr>
                <w:sz w:val="18"/>
              </w:rPr>
              <w:t>This DPIA distinguishes between: (i) the day to day processing undertaken (by us as a controller and EMIS Health as a processor acting on our behalf (and which will not change and so is not covere</w:t>
            </w:r>
            <w:r>
              <w:rPr>
                <w:sz w:val="18"/>
              </w:rPr>
              <w:t>d in detail)); and (ii) the change to the manner in which the data is being hosted by or on behalf of the processor (and which is the focus of this DPIA).</w:t>
            </w:r>
          </w:p>
          <w:p w14:paraId="3F576538" w14:textId="77777777" w:rsidR="005B7C8F" w:rsidRDefault="000D1B56">
            <w:pPr>
              <w:pStyle w:val="TableParagraph"/>
              <w:spacing w:before="120"/>
              <w:ind w:right="575"/>
              <w:rPr>
                <w:sz w:val="18"/>
              </w:rPr>
            </w:pPr>
            <w:r>
              <w:rPr>
                <w:sz w:val="18"/>
              </w:rPr>
              <w:t>We are aware that cloud computing is an established technology and the adoption of which is something</w:t>
            </w:r>
            <w:r>
              <w:rPr>
                <w:sz w:val="18"/>
              </w:rPr>
              <w:t xml:space="preserve"> which is being driven within the public sector – </w:t>
            </w:r>
            <w:hyperlink r:id="rId8">
              <w:r>
                <w:rPr>
                  <w:color w:val="0000FF"/>
                  <w:sz w:val="18"/>
                  <w:u w:val="single" w:color="0000FF"/>
                </w:rPr>
                <w:t>https://www.gov.uk/guidance/use-cloud-first</w:t>
              </w:r>
            </w:hyperlink>
          </w:p>
          <w:p w14:paraId="3F576539" w14:textId="77777777" w:rsidR="005B7C8F" w:rsidRDefault="000D1B56">
            <w:pPr>
              <w:pStyle w:val="TableParagraph"/>
              <w:spacing w:before="121"/>
              <w:rPr>
                <w:sz w:val="18"/>
              </w:rPr>
            </w:pPr>
            <w:r>
              <w:rPr>
                <w:sz w:val="18"/>
              </w:rPr>
              <w:t>The use of cloud computing has been recognised by the Government as being beneficial</w:t>
            </w:r>
            <w:r>
              <w:rPr>
                <w:spacing w:val="-34"/>
                <w:sz w:val="18"/>
              </w:rPr>
              <w:t xml:space="preserve"> </w:t>
            </w:r>
            <w:r>
              <w:rPr>
                <w:sz w:val="18"/>
              </w:rPr>
              <w:t>because:</w:t>
            </w:r>
          </w:p>
          <w:p w14:paraId="3F57653A" w14:textId="77777777" w:rsidR="005B7C8F" w:rsidRDefault="000D1B56">
            <w:pPr>
              <w:pStyle w:val="TableParagraph"/>
              <w:numPr>
                <w:ilvl w:val="0"/>
                <w:numId w:val="2"/>
              </w:numPr>
              <w:tabs>
                <w:tab w:val="left" w:pos="820"/>
                <w:tab w:val="left" w:pos="821"/>
              </w:tabs>
              <w:ind w:hanging="355"/>
              <w:rPr>
                <w:sz w:val="18"/>
              </w:rPr>
            </w:pPr>
            <w:r>
              <w:rPr>
                <w:sz w:val="18"/>
              </w:rPr>
              <w:t>you can avoid upfront investments in your infrastructure, reducing overall</w:t>
            </w:r>
            <w:r>
              <w:rPr>
                <w:spacing w:val="-29"/>
                <w:sz w:val="18"/>
              </w:rPr>
              <w:t xml:space="preserve"> </w:t>
            </w:r>
            <w:r>
              <w:rPr>
                <w:sz w:val="18"/>
              </w:rPr>
              <w:t>costs;</w:t>
            </w:r>
          </w:p>
          <w:p w14:paraId="3F57653B" w14:textId="77777777" w:rsidR="005B7C8F" w:rsidRDefault="000D1B56">
            <w:pPr>
              <w:pStyle w:val="TableParagraph"/>
              <w:numPr>
                <w:ilvl w:val="0"/>
                <w:numId w:val="2"/>
              </w:numPr>
              <w:tabs>
                <w:tab w:val="left" w:pos="820"/>
                <w:tab w:val="left" w:pos="821"/>
              </w:tabs>
              <w:spacing w:before="58"/>
              <w:ind w:hanging="355"/>
              <w:rPr>
                <w:sz w:val="18"/>
              </w:rPr>
            </w:pPr>
            <w:r>
              <w:rPr>
                <w:sz w:val="18"/>
              </w:rPr>
              <w:t>there’s greater flexibility to trial new services or make changes, with minimal</w:t>
            </w:r>
            <w:r>
              <w:rPr>
                <w:spacing w:val="-17"/>
                <w:sz w:val="18"/>
              </w:rPr>
              <w:t xml:space="preserve"> </w:t>
            </w:r>
            <w:r>
              <w:rPr>
                <w:sz w:val="18"/>
              </w:rPr>
              <w:t>cost;</w:t>
            </w:r>
          </w:p>
        </w:tc>
      </w:tr>
    </w:tbl>
    <w:p w14:paraId="3F57653D" w14:textId="77777777" w:rsidR="005B7C8F" w:rsidRDefault="005B7C8F">
      <w:pPr>
        <w:rPr>
          <w:sz w:val="18"/>
        </w:rPr>
        <w:sectPr w:rsidR="005B7C8F" w:rsidSect="007B1DB1">
          <w:headerReference w:type="default" r:id="rId9"/>
          <w:footerReference w:type="default" r:id="rId10"/>
          <w:type w:val="continuous"/>
          <w:pgSz w:w="16840" w:h="11910" w:orient="landscape"/>
          <w:pgMar w:top="1340" w:right="1420" w:bottom="1320" w:left="920" w:header="751" w:footer="731" w:gutter="0"/>
          <w:pgNumType w:start="1"/>
          <w:cols w:space="720"/>
          <w:docGrid w:linePitch="299"/>
        </w:sectPr>
      </w:pPr>
    </w:p>
    <w:tbl>
      <w:tblPr>
        <w:tblW w:w="144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96"/>
      </w:tblGrid>
      <w:tr w:rsidR="005B7C8F" w14:paraId="3F576544" w14:textId="77777777" w:rsidTr="007B1DB1">
        <w:trPr>
          <w:trHeight w:val="3693"/>
        </w:trPr>
        <w:tc>
          <w:tcPr>
            <w:tcW w:w="14496" w:type="dxa"/>
          </w:tcPr>
          <w:p w14:paraId="3F57653E" w14:textId="77777777" w:rsidR="005B7C8F" w:rsidRDefault="000D1B56">
            <w:pPr>
              <w:pStyle w:val="TableParagraph"/>
              <w:numPr>
                <w:ilvl w:val="0"/>
                <w:numId w:val="1"/>
              </w:numPr>
              <w:tabs>
                <w:tab w:val="left" w:pos="820"/>
                <w:tab w:val="left" w:pos="821"/>
              </w:tabs>
              <w:spacing w:before="0"/>
              <w:ind w:right="163" w:hanging="355"/>
              <w:rPr>
                <w:sz w:val="18"/>
              </w:rPr>
            </w:pPr>
            <w:r>
              <w:rPr>
                <w:sz w:val="18"/>
              </w:rPr>
              <w:lastRenderedPageBreak/>
              <w:t>pricing</w:t>
            </w:r>
            <w:r>
              <w:rPr>
                <w:spacing w:val="-4"/>
                <w:sz w:val="18"/>
              </w:rPr>
              <w:t xml:space="preserve"> </w:t>
            </w:r>
            <w:r>
              <w:rPr>
                <w:sz w:val="18"/>
              </w:rPr>
              <w:t>models</w:t>
            </w:r>
            <w:r>
              <w:rPr>
                <w:spacing w:val="-3"/>
                <w:sz w:val="18"/>
              </w:rPr>
              <w:t xml:space="preserve"> </w:t>
            </w:r>
            <w:r>
              <w:rPr>
                <w:sz w:val="18"/>
              </w:rPr>
              <w:t>are</w:t>
            </w:r>
            <w:r>
              <w:rPr>
                <w:spacing w:val="-3"/>
                <w:sz w:val="18"/>
              </w:rPr>
              <w:t xml:space="preserve"> </w:t>
            </w:r>
            <w:r>
              <w:rPr>
                <w:sz w:val="18"/>
              </w:rPr>
              <w:t>scaleable</w:t>
            </w:r>
            <w:r>
              <w:rPr>
                <w:spacing w:val="1"/>
                <w:sz w:val="18"/>
              </w:rPr>
              <w:t xml:space="preserve"> </w:t>
            </w:r>
            <w:r>
              <w:rPr>
                <w:sz w:val="18"/>
              </w:rPr>
              <w:t>-</w:t>
            </w:r>
            <w:r>
              <w:rPr>
                <w:spacing w:val="-3"/>
                <w:sz w:val="18"/>
              </w:rPr>
              <w:t xml:space="preserve"> </w:t>
            </w:r>
            <w:r>
              <w:rPr>
                <w:sz w:val="18"/>
              </w:rPr>
              <w:t>instead</w:t>
            </w:r>
            <w:r>
              <w:rPr>
                <w:spacing w:val="-4"/>
                <w:sz w:val="18"/>
              </w:rPr>
              <w:t xml:space="preserve"> </w:t>
            </w:r>
            <w:r>
              <w:rPr>
                <w:sz w:val="18"/>
              </w:rPr>
              <w:t>of</w:t>
            </w:r>
            <w:r>
              <w:rPr>
                <w:spacing w:val="-1"/>
                <w:sz w:val="18"/>
              </w:rPr>
              <w:t xml:space="preserve"> </w:t>
            </w:r>
            <w:r>
              <w:rPr>
                <w:sz w:val="18"/>
              </w:rPr>
              <w:t>building</w:t>
            </w:r>
            <w:r>
              <w:rPr>
                <w:spacing w:val="-3"/>
                <w:sz w:val="18"/>
              </w:rPr>
              <w:t xml:space="preserve"> </w:t>
            </w:r>
            <w:r>
              <w:rPr>
                <w:sz w:val="18"/>
              </w:rPr>
              <w:t>for</w:t>
            </w:r>
            <w:r>
              <w:rPr>
                <w:spacing w:val="-1"/>
                <w:sz w:val="18"/>
              </w:rPr>
              <w:t xml:space="preserve"> </w:t>
            </w:r>
            <w:r>
              <w:rPr>
                <w:sz w:val="18"/>
              </w:rPr>
              <w:t>the</w:t>
            </w:r>
            <w:r>
              <w:rPr>
                <w:spacing w:val="-3"/>
                <w:sz w:val="18"/>
              </w:rPr>
              <w:t xml:space="preserve"> </w:t>
            </w:r>
            <w:r>
              <w:rPr>
                <w:sz w:val="18"/>
              </w:rPr>
              <w:t>maximum</w:t>
            </w:r>
            <w:r>
              <w:rPr>
                <w:spacing w:val="-3"/>
                <w:sz w:val="18"/>
              </w:rPr>
              <w:t xml:space="preserve"> </w:t>
            </w:r>
            <w:r>
              <w:rPr>
                <w:sz w:val="18"/>
              </w:rPr>
              <w:t>usage</w:t>
            </w:r>
            <w:r>
              <w:rPr>
                <w:spacing w:val="-1"/>
                <w:sz w:val="18"/>
              </w:rPr>
              <w:t xml:space="preserve"> </w:t>
            </w:r>
            <w:r>
              <w:rPr>
                <w:sz w:val="18"/>
              </w:rPr>
              <w:t>you</w:t>
            </w:r>
            <w:r>
              <w:rPr>
                <w:spacing w:val="-3"/>
                <w:sz w:val="18"/>
              </w:rPr>
              <w:t xml:space="preserve"> </w:t>
            </w:r>
            <w:r>
              <w:rPr>
                <w:sz w:val="18"/>
              </w:rPr>
              <w:t>buy</w:t>
            </w:r>
            <w:r>
              <w:rPr>
                <w:spacing w:val="-3"/>
                <w:sz w:val="18"/>
              </w:rPr>
              <w:t xml:space="preserve"> </w:t>
            </w:r>
            <w:r>
              <w:rPr>
                <w:sz w:val="18"/>
              </w:rPr>
              <w:t>for</w:t>
            </w:r>
            <w:r>
              <w:rPr>
                <w:spacing w:val="-3"/>
                <w:sz w:val="18"/>
              </w:rPr>
              <w:t xml:space="preserve"> </w:t>
            </w:r>
            <w:r>
              <w:rPr>
                <w:sz w:val="18"/>
              </w:rPr>
              <w:t>less</w:t>
            </w:r>
            <w:r>
              <w:rPr>
                <w:spacing w:val="-1"/>
                <w:sz w:val="18"/>
              </w:rPr>
              <w:t xml:space="preserve"> </w:t>
            </w:r>
            <w:r>
              <w:rPr>
                <w:sz w:val="18"/>
              </w:rPr>
              <w:t>usage</w:t>
            </w:r>
            <w:r>
              <w:rPr>
                <w:spacing w:val="-3"/>
                <w:sz w:val="18"/>
              </w:rPr>
              <w:t xml:space="preserve"> </w:t>
            </w:r>
            <w:r>
              <w:rPr>
                <w:sz w:val="18"/>
              </w:rPr>
              <w:t>and increase or decrease as</w:t>
            </w:r>
            <w:r>
              <w:rPr>
                <w:spacing w:val="-2"/>
                <w:sz w:val="18"/>
              </w:rPr>
              <w:t xml:space="preserve"> </w:t>
            </w:r>
            <w:r>
              <w:rPr>
                <w:sz w:val="18"/>
              </w:rPr>
              <w:t>appropriate;</w:t>
            </w:r>
          </w:p>
          <w:p w14:paraId="3F57653F" w14:textId="77777777" w:rsidR="005B7C8F" w:rsidRDefault="000D1B56">
            <w:pPr>
              <w:pStyle w:val="TableParagraph"/>
              <w:numPr>
                <w:ilvl w:val="0"/>
                <w:numId w:val="1"/>
              </w:numPr>
              <w:tabs>
                <w:tab w:val="left" w:pos="820"/>
                <w:tab w:val="left" w:pos="821"/>
              </w:tabs>
              <w:spacing w:before="59"/>
              <w:ind w:right="301" w:hanging="355"/>
              <w:rPr>
                <w:sz w:val="18"/>
              </w:rPr>
            </w:pPr>
            <w:r>
              <w:rPr>
                <w:sz w:val="18"/>
              </w:rPr>
              <w:t>it will be easier to meet the Greening Government Commitments - cloud facilities typically t</w:t>
            </w:r>
            <w:r>
              <w:rPr>
                <w:sz w:val="18"/>
              </w:rPr>
              <w:t>ry to use server space and power in the most efficient way</w:t>
            </w:r>
            <w:r>
              <w:rPr>
                <w:spacing w:val="-6"/>
                <w:sz w:val="18"/>
              </w:rPr>
              <w:t xml:space="preserve"> </w:t>
            </w:r>
            <w:r>
              <w:rPr>
                <w:sz w:val="18"/>
              </w:rPr>
              <w:t>possible;</w:t>
            </w:r>
          </w:p>
          <w:p w14:paraId="3F576540" w14:textId="77777777" w:rsidR="005B7C8F" w:rsidRDefault="000D1B56">
            <w:pPr>
              <w:pStyle w:val="TableParagraph"/>
              <w:numPr>
                <w:ilvl w:val="0"/>
                <w:numId w:val="1"/>
              </w:numPr>
              <w:tabs>
                <w:tab w:val="left" w:pos="820"/>
                <w:tab w:val="left" w:pos="821"/>
              </w:tabs>
              <w:spacing w:before="57"/>
              <w:ind w:hanging="355"/>
              <w:rPr>
                <w:sz w:val="18"/>
              </w:rPr>
            </w:pPr>
            <w:r>
              <w:rPr>
                <w:sz w:val="18"/>
              </w:rPr>
              <w:t>upgrades and security patches can be applied continuously;</w:t>
            </w:r>
            <w:r>
              <w:rPr>
                <w:spacing w:val="-13"/>
                <w:sz w:val="18"/>
              </w:rPr>
              <w:t xml:space="preserve"> </w:t>
            </w:r>
            <w:r>
              <w:rPr>
                <w:sz w:val="18"/>
              </w:rPr>
              <w:t>and</w:t>
            </w:r>
          </w:p>
          <w:p w14:paraId="3F576541" w14:textId="77777777" w:rsidR="005B7C8F" w:rsidRDefault="000D1B56">
            <w:pPr>
              <w:pStyle w:val="TableParagraph"/>
              <w:numPr>
                <w:ilvl w:val="0"/>
                <w:numId w:val="1"/>
              </w:numPr>
              <w:tabs>
                <w:tab w:val="left" w:pos="820"/>
                <w:tab w:val="left" w:pos="821"/>
              </w:tabs>
              <w:spacing w:before="60"/>
              <w:ind w:hanging="355"/>
              <w:rPr>
                <w:sz w:val="18"/>
              </w:rPr>
            </w:pPr>
            <w:r>
              <w:rPr>
                <w:sz w:val="18"/>
              </w:rPr>
              <w:t>the supplier will have responsibility for making sure the service has good availability for</w:t>
            </w:r>
            <w:r>
              <w:rPr>
                <w:spacing w:val="-19"/>
                <w:sz w:val="18"/>
              </w:rPr>
              <w:t xml:space="preserve"> </w:t>
            </w:r>
            <w:r>
              <w:rPr>
                <w:sz w:val="18"/>
              </w:rPr>
              <w:t>users.</w:t>
            </w:r>
          </w:p>
          <w:p w14:paraId="3F576542" w14:textId="77777777" w:rsidR="005B7C8F" w:rsidRDefault="000D1B56">
            <w:pPr>
              <w:pStyle w:val="TableParagraph"/>
              <w:spacing w:before="118"/>
              <w:ind w:right="96"/>
              <w:rPr>
                <w:sz w:val="18"/>
              </w:rPr>
            </w:pPr>
            <w:r>
              <w:rPr>
                <w:sz w:val="18"/>
              </w:rPr>
              <w:t>In terms of issues of public concern, we understand that individuals may have an issue with their medical record being held by a commercial organisation but,</w:t>
            </w:r>
            <w:r>
              <w:rPr>
                <w:sz w:val="18"/>
              </w:rPr>
              <w:t xml:space="preserve"> the fact is that the relevant patient records are already being held by third party commercial organisations (either EMIS or one of the other primary system suppliers under GPSoC (or by sub-processors acting on their behalf)) and the only real change here</w:t>
            </w:r>
            <w:r>
              <w:rPr>
                <w:sz w:val="18"/>
              </w:rPr>
              <w:t xml:space="preserve"> is the identity of the third party (i.e. the data is moving from a processor to a sub-processor).</w:t>
            </w:r>
          </w:p>
          <w:p w14:paraId="3F576543" w14:textId="77777777" w:rsidR="005B7C8F" w:rsidRDefault="000D1B56">
            <w:pPr>
              <w:pStyle w:val="TableParagraph"/>
              <w:spacing w:before="120"/>
              <w:ind w:right="121"/>
              <w:rPr>
                <w:sz w:val="18"/>
              </w:rPr>
            </w:pPr>
            <w:r>
              <w:rPr>
                <w:sz w:val="18"/>
              </w:rPr>
              <w:t xml:space="preserve">With regard to questions of security we are aware that the National Cyber Security Centre has issued guidance on cloud security - </w:t>
            </w:r>
            <w:hyperlink r:id="rId11">
              <w:r>
                <w:rPr>
                  <w:color w:val="0000FF"/>
                  <w:sz w:val="18"/>
                  <w:u w:val="single" w:color="0000FF"/>
                </w:rPr>
                <w:t>https://www.ncsc.gov.uk/collection/cloud-security</w:t>
              </w:r>
              <w:r>
                <w:rPr>
                  <w:color w:val="0000FF"/>
                  <w:sz w:val="18"/>
                </w:rPr>
                <w:t xml:space="preserve"> </w:t>
              </w:r>
            </w:hyperlink>
            <w:r>
              <w:rPr>
                <w:sz w:val="18"/>
              </w:rPr>
              <w:t xml:space="preserve">and we </w:t>
            </w:r>
            <w:r>
              <w:rPr>
                <w:sz w:val="18"/>
              </w:rPr>
              <w:t>understand that the relevant service provider in this instance (AWS) operates at the very highest levels of security (details of which are set out at</w:t>
            </w:r>
            <w:r>
              <w:rPr>
                <w:spacing w:val="-2"/>
                <w:sz w:val="18"/>
              </w:rPr>
              <w:t xml:space="preserve"> </w:t>
            </w:r>
            <w:hyperlink r:id="rId12">
              <w:r>
                <w:rPr>
                  <w:color w:val="0000FF"/>
                  <w:sz w:val="18"/>
                  <w:u w:val="single" w:color="0000FF"/>
                </w:rPr>
                <w:t>https://aws.amazon.com/security/</w:t>
              </w:r>
            </w:hyperlink>
            <w:r>
              <w:rPr>
                <w:sz w:val="18"/>
              </w:rPr>
              <w:t>).</w:t>
            </w:r>
          </w:p>
        </w:tc>
      </w:tr>
      <w:tr w:rsidR="005B7C8F" w14:paraId="3F576546" w14:textId="77777777" w:rsidTr="007B1DB1">
        <w:trPr>
          <w:trHeight w:val="655"/>
        </w:trPr>
        <w:tc>
          <w:tcPr>
            <w:tcW w:w="14496" w:type="dxa"/>
            <w:shd w:val="clear" w:color="auto" w:fill="DBE5F1" w:themeFill="accent1" w:themeFillTint="33"/>
          </w:tcPr>
          <w:p w14:paraId="3F576545" w14:textId="77777777" w:rsidR="005B7C8F" w:rsidRDefault="000D1B56">
            <w:pPr>
              <w:pStyle w:val="TableParagraph"/>
              <w:spacing w:before="117"/>
              <w:ind w:right="756"/>
              <w:rPr>
                <w:i/>
                <w:sz w:val="18"/>
              </w:rPr>
            </w:pPr>
            <w:r>
              <w:rPr>
                <w:i/>
                <w:sz w:val="18"/>
              </w:rPr>
              <w:t>Describe the purpo</w:t>
            </w:r>
            <w:r>
              <w:rPr>
                <w:i/>
                <w:sz w:val="18"/>
              </w:rPr>
              <w:t>ses of the processing: what do you want to achieve? What is the intended effect on individuals? What are the benefits of the processing for you, and more broadly?</w:t>
            </w:r>
          </w:p>
        </w:tc>
      </w:tr>
      <w:tr w:rsidR="005B7C8F" w14:paraId="3F576548" w14:textId="77777777" w:rsidTr="007B1DB1">
        <w:trPr>
          <w:trHeight w:val="1067"/>
        </w:trPr>
        <w:tc>
          <w:tcPr>
            <w:tcW w:w="14496" w:type="dxa"/>
          </w:tcPr>
          <w:p w14:paraId="3F576547" w14:textId="77777777" w:rsidR="005B7C8F" w:rsidRDefault="000D1B56">
            <w:pPr>
              <w:pStyle w:val="TableParagraph"/>
              <w:ind w:right="217"/>
              <w:rPr>
                <w:sz w:val="18"/>
              </w:rPr>
            </w:pPr>
            <w:r>
              <w:rPr>
                <w:sz w:val="18"/>
              </w:rPr>
              <w:t>As noted under the question above, the move to a third party cloud environment is seen as be</w:t>
            </w:r>
            <w:r>
              <w:rPr>
                <w:sz w:val="18"/>
              </w:rPr>
              <w:t>neficial for a number of reasons for us as a controller (in terms of improved availability, resilience and service in respect of the services being delivered to us by the processor) and in respect of the patients (in terms security, integrity and availabil</w:t>
            </w:r>
            <w:r>
              <w:rPr>
                <w:sz w:val="18"/>
              </w:rPr>
              <w:t>ity of their data).</w:t>
            </w:r>
          </w:p>
        </w:tc>
      </w:tr>
    </w:tbl>
    <w:p w14:paraId="3F576549" w14:textId="3F275A48" w:rsidR="005B7C8F" w:rsidRDefault="000D1B56">
      <w:pPr>
        <w:spacing w:before="124"/>
        <w:ind w:left="100"/>
        <w:rPr>
          <w:b/>
          <w:sz w:val="18"/>
        </w:rPr>
      </w:pPr>
      <w:r>
        <w:rPr>
          <w:b/>
          <w:sz w:val="18"/>
        </w:rPr>
        <w:t>Consultation process</w:t>
      </w:r>
    </w:p>
    <w:p w14:paraId="3F57654A" w14:textId="77777777" w:rsidR="005B7C8F" w:rsidRDefault="005B7C8F">
      <w:pPr>
        <w:spacing w:before="10"/>
        <w:rPr>
          <w:b/>
          <w:sz w:val="10"/>
        </w:rPr>
      </w:pPr>
    </w:p>
    <w:tbl>
      <w:tblPr>
        <w:tblW w:w="144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96"/>
      </w:tblGrid>
      <w:tr w:rsidR="005B7C8F" w14:paraId="3F57654C" w14:textId="77777777" w:rsidTr="007B1DB1">
        <w:trPr>
          <w:trHeight w:val="1067"/>
        </w:trPr>
        <w:tc>
          <w:tcPr>
            <w:tcW w:w="14496" w:type="dxa"/>
            <w:shd w:val="clear" w:color="auto" w:fill="DBE5F1" w:themeFill="accent1" w:themeFillTint="33"/>
          </w:tcPr>
          <w:p w14:paraId="3F57654B" w14:textId="77777777" w:rsidR="005B7C8F" w:rsidRDefault="000D1B56">
            <w:pPr>
              <w:pStyle w:val="TableParagraph"/>
              <w:spacing w:before="116"/>
              <w:ind w:right="186"/>
              <w:rPr>
                <w:i/>
                <w:sz w:val="18"/>
              </w:rPr>
            </w:pPr>
            <w:r>
              <w:rPr>
                <w:i/>
                <w:sz w:val="18"/>
              </w:rPr>
              <w:t>Consider how to consult with relevant stakeholders: describe when and how you will seek individuals’ views – or justify why it’s not appropriate to do so. Who else do you need to involve within your organisation? Do you need to ask your processors to assis</w:t>
            </w:r>
            <w:r>
              <w:rPr>
                <w:i/>
                <w:sz w:val="18"/>
              </w:rPr>
              <w:t>t? Do you plan to consult information security experts, or any other experts?</w:t>
            </w:r>
          </w:p>
        </w:tc>
      </w:tr>
      <w:tr w:rsidR="005B7C8F" w14:paraId="3F576552" w14:textId="77777777" w:rsidTr="007B1DB1">
        <w:trPr>
          <w:trHeight w:val="3914"/>
        </w:trPr>
        <w:tc>
          <w:tcPr>
            <w:tcW w:w="14496" w:type="dxa"/>
          </w:tcPr>
          <w:p w14:paraId="3F57654D" w14:textId="77777777" w:rsidR="005B7C8F" w:rsidRDefault="000D1B56">
            <w:pPr>
              <w:pStyle w:val="TableParagraph"/>
              <w:spacing w:before="121"/>
              <w:ind w:right="457"/>
              <w:rPr>
                <w:sz w:val="18"/>
              </w:rPr>
            </w:pPr>
            <w:r>
              <w:rPr>
                <w:sz w:val="18"/>
              </w:rPr>
              <w:lastRenderedPageBreak/>
              <w:t>The GPSoC services are provided pursuant to a framework agreement as between NHS Digital and EMIS Health (with services then being purchased at a CCG level on our behalf as a se</w:t>
            </w:r>
            <w:r>
              <w:rPr>
                <w:sz w:val="18"/>
              </w:rPr>
              <w:t>rvice recipient).</w:t>
            </w:r>
          </w:p>
          <w:p w14:paraId="3F57654E" w14:textId="77777777" w:rsidR="005B7C8F" w:rsidRDefault="000D1B56">
            <w:pPr>
              <w:pStyle w:val="TableParagraph"/>
              <w:ind w:right="166"/>
              <w:rPr>
                <w:sz w:val="18"/>
              </w:rPr>
            </w:pPr>
            <w:r>
              <w:rPr>
                <w:sz w:val="18"/>
              </w:rPr>
              <w:t>Under the terms of the GPSoC framework, NHS Digital essentially acts for and on our behalf in terms of approving the appointment of processors to the framework and, once they are appointed, the use of any sub- contractors (and so sub-proc</w:t>
            </w:r>
            <w:r>
              <w:rPr>
                <w:sz w:val="18"/>
              </w:rPr>
              <w:t>essors). We understand that EMIS Health has engaged with NHS Digital in order to secure a variation to the framework agreement to provide for the appointment of AWS as an approved material sub-contractor.</w:t>
            </w:r>
          </w:p>
          <w:p w14:paraId="3F57654F" w14:textId="77777777" w:rsidR="005B7C8F" w:rsidRDefault="000D1B56">
            <w:pPr>
              <w:pStyle w:val="TableParagraph"/>
              <w:spacing w:before="120"/>
              <w:ind w:right="136"/>
              <w:rPr>
                <w:sz w:val="18"/>
              </w:rPr>
            </w:pPr>
            <w:r>
              <w:rPr>
                <w:sz w:val="18"/>
              </w:rPr>
              <w:t>EMIS Health has notified the relevant GP practices,</w:t>
            </w:r>
            <w:r>
              <w:rPr>
                <w:sz w:val="18"/>
              </w:rPr>
              <w:t xml:space="preserve"> including ourselves, so that we have an opportunity to raise any concerns with regard to the proposed change but as this change is a universal technical/operational change it is more appropriate for such matters to take place at a framework level (which i</w:t>
            </w:r>
            <w:r>
              <w:rPr>
                <w:sz w:val="18"/>
              </w:rPr>
              <w:t>s why the GPSOC Framework Agreement is structured as it is).</w:t>
            </w:r>
          </w:p>
          <w:p w14:paraId="3F576550" w14:textId="77777777" w:rsidR="005B7C8F" w:rsidRDefault="000D1B56">
            <w:pPr>
              <w:pStyle w:val="TableParagraph"/>
              <w:spacing w:before="120"/>
              <w:rPr>
                <w:sz w:val="18"/>
              </w:rPr>
            </w:pPr>
            <w:r>
              <w:rPr>
                <w:sz w:val="18"/>
              </w:rPr>
              <w:t>In any event, the Guidance issued by the ICO would suggest that this is a move which the processor is entitled to drive on its own behalf provided that it remains within the scope of the relevant</w:t>
            </w:r>
            <w:r>
              <w:rPr>
                <w:sz w:val="18"/>
              </w:rPr>
              <w:t xml:space="preserve"> contract (i.e. in its</w:t>
            </w:r>
          </w:p>
          <w:p w14:paraId="3F576551" w14:textId="77777777" w:rsidR="005B7C8F" w:rsidRDefault="000D1B56">
            <w:pPr>
              <w:pStyle w:val="TableParagraph"/>
              <w:spacing w:before="0"/>
              <w:ind w:right="194"/>
              <w:jc w:val="both"/>
              <w:rPr>
                <w:sz w:val="18"/>
              </w:rPr>
            </w:pPr>
            <w:r>
              <w:rPr>
                <w:sz w:val="18"/>
              </w:rPr>
              <w:t>Controller/Processor detailed guidance the ICO states “</w:t>
            </w:r>
            <w:r>
              <w:rPr>
                <w:i/>
                <w:sz w:val="18"/>
              </w:rPr>
              <w:t xml:space="preserve">In certain circumstances, and where allowed for in the </w:t>
            </w:r>
            <w:r>
              <w:rPr>
                <w:i/>
                <w:sz w:val="18"/>
              </w:rPr>
              <w:t>contract, a processor may have the freedom to use its technical knowledge to decide how to carry out certain activities on the controller’s behalf</w:t>
            </w:r>
            <w:r>
              <w:rPr>
                <w:sz w:val="18"/>
              </w:rPr>
              <w:t>.”).</w:t>
            </w:r>
          </w:p>
        </w:tc>
      </w:tr>
    </w:tbl>
    <w:p w14:paraId="3F576553" w14:textId="63BF60DC" w:rsidR="005B7C8F" w:rsidRDefault="000D1B56">
      <w:pPr>
        <w:spacing w:before="115"/>
        <w:ind w:left="100"/>
        <w:rPr>
          <w:b/>
          <w:sz w:val="18"/>
        </w:rPr>
      </w:pPr>
      <w:r>
        <w:rPr>
          <w:b/>
          <w:sz w:val="18"/>
        </w:rPr>
        <w:t>Assess necessity and proportionality</w:t>
      </w:r>
    </w:p>
    <w:p w14:paraId="3F576554" w14:textId="77777777" w:rsidR="005B7C8F" w:rsidRDefault="005B7C8F">
      <w:pPr>
        <w:spacing w:before="10"/>
        <w:rPr>
          <w:b/>
          <w:sz w:val="10"/>
        </w:rPr>
      </w:pPr>
    </w:p>
    <w:tbl>
      <w:tblPr>
        <w:tblW w:w="144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96"/>
      </w:tblGrid>
      <w:tr w:rsidR="005B7C8F" w14:paraId="3F576556" w14:textId="77777777" w:rsidTr="007B1DB1">
        <w:trPr>
          <w:trHeight w:val="1273"/>
        </w:trPr>
        <w:tc>
          <w:tcPr>
            <w:tcW w:w="14496" w:type="dxa"/>
            <w:shd w:val="clear" w:color="auto" w:fill="DBE5F1" w:themeFill="accent1" w:themeFillTint="33"/>
          </w:tcPr>
          <w:p w14:paraId="3F576555" w14:textId="77777777" w:rsidR="005B7C8F" w:rsidRDefault="000D1B56">
            <w:pPr>
              <w:pStyle w:val="TableParagraph"/>
              <w:spacing w:before="116"/>
              <w:ind w:right="106"/>
              <w:rPr>
                <w:i/>
                <w:sz w:val="18"/>
              </w:rPr>
            </w:pPr>
            <w:r>
              <w:rPr>
                <w:i/>
                <w:sz w:val="18"/>
              </w:rPr>
              <w:t>Describe compliance and proportionality measures, in parti</w:t>
            </w:r>
            <w:r>
              <w:rPr>
                <w:i/>
                <w:sz w:val="18"/>
              </w:rPr>
              <w:t>cular: what is your lawful basis for processing? Does the processing actually achieve your purpose? Is there another way to achieve the same outcome? How will you prevent function creep? How will you ensure data quality and data minimisation? What informat</w:t>
            </w:r>
            <w:r>
              <w:rPr>
                <w:i/>
                <w:sz w:val="18"/>
              </w:rPr>
              <w:t>ion will you give individuals? How will you help to support their rights? What measures do you take to ensure processors comply? How do you safeguard any international transfers</w:t>
            </w:r>
          </w:p>
        </w:tc>
      </w:tr>
      <w:tr w:rsidR="005B7C8F" w14:paraId="3F57655A" w14:textId="77777777" w:rsidTr="007B1DB1">
        <w:trPr>
          <w:trHeight w:val="1722"/>
        </w:trPr>
        <w:tc>
          <w:tcPr>
            <w:tcW w:w="14496" w:type="dxa"/>
          </w:tcPr>
          <w:p w14:paraId="3F576557" w14:textId="77777777" w:rsidR="005B7C8F" w:rsidRDefault="000D1B56">
            <w:pPr>
              <w:pStyle w:val="TableParagraph"/>
              <w:ind w:right="106"/>
              <w:rPr>
                <w:sz w:val="18"/>
              </w:rPr>
            </w:pPr>
            <w:r>
              <w:rPr>
                <w:sz w:val="18"/>
              </w:rPr>
              <w:t>The lawful basis for processing (a mixture of consent, explicit consent, fulf</w:t>
            </w:r>
            <w:r>
              <w:rPr>
                <w:sz w:val="18"/>
              </w:rPr>
              <w:t>illing public duties and providing direct healthcare) the patient records does not change as a result of this proposed change, the only difference is a technical one in terms of how the services is being delivered by the relevant processor (i.e. EMIS Healt</w:t>
            </w:r>
            <w:r>
              <w:rPr>
                <w:sz w:val="18"/>
              </w:rPr>
              <w:t>h).</w:t>
            </w:r>
          </w:p>
          <w:p w14:paraId="3F576558" w14:textId="4AAF7F4C" w:rsidR="005B7C8F" w:rsidRDefault="000D1B56">
            <w:pPr>
              <w:pStyle w:val="TableParagraph"/>
              <w:spacing w:before="115" w:line="244" w:lineRule="auto"/>
              <w:ind w:right="857"/>
              <w:rPr>
                <w:sz w:val="18"/>
              </w:rPr>
            </w:pPr>
            <w:r>
              <w:rPr>
                <w:sz w:val="18"/>
              </w:rPr>
              <w:t xml:space="preserve">We have in place a privacy notice </w:t>
            </w:r>
            <w:r w:rsidR="00281367">
              <w:rPr>
                <w:bCs/>
                <w:sz w:val="18"/>
              </w:rPr>
              <w:t>linked from the practice wesbite</w:t>
            </w:r>
            <w:r w:rsidR="005F0D17">
              <w:rPr>
                <w:b/>
                <w:sz w:val="18"/>
              </w:rPr>
              <w:t xml:space="preserve"> </w:t>
            </w:r>
            <w:r>
              <w:rPr>
                <w:sz w:val="18"/>
              </w:rPr>
              <w:t xml:space="preserve">which refers to the use of third party processors/service providers, which </w:t>
            </w:r>
            <w:r>
              <w:rPr>
                <w:sz w:val="18"/>
              </w:rPr>
              <w:t>include</w:t>
            </w:r>
            <w:r w:rsidR="00281367">
              <w:rPr>
                <w:sz w:val="18"/>
              </w:rPr>
              <w:t>s</w:t>
            </w:r>
            <w:bookmarkStart w:id="0" w:name="_GoBack"/>
            <w:bookmarkEnd w:id="0"/>
            <w:r>
              <w:rPr>
                <w:sz w:val="18"/>
              </w:rPr>
              <w:t xml:space="preserve"> EMIS Health.</w:t>
            </w:r>
          </w:p>
          <w:p w14:paraId="3F576559" w14:textId="77777777" w:rsidR="005B7C8F" w:rsidRDefault="000D1B56">
            <w:pPr>
              <w:pStyle w:val="TableParagraph"/>
              <w:spacing w:before="113"/>
              <w:rPr>
                <w:sz w:val="18"/>
              </w:rPr>
            </w:pPr>
            <w:r>
              <w:rPr>
                <w:sz w:val="18"/>
              </w:rPr>
              <w:t xml:space="preserve">We are informed that the data will </w:t>
            </w:r>
            <w:r>
              <w:rPr>
                <w:b/>
                <w:sz w:val="18"/>
              </w:rPr>
              <w:t xml:space="preserve">not </w:t>
            </w:r>
            <w:r>
              <w:rPr>
                <w:sz w:val="18"/>
              </w:rPr>
              <w:t>be transferred overseas in connection with this change of service.</w:t>
            </w:r>
          </w:p>
        </w:tc>
      </w:tr>
    </w:tbl>
    <w:p w14:paraId="3F57655B" w14:textId="77777777" w:rsidR="005B7C8F" w:rsidRDefault="005B7C8F">
      <w:pPr>
        <w:rPr>
          <w:sz w:val="18"/>
        </w:rPr>
        <w:sectPr w:rsidR="005B7C8F" w:rsidSect="007B1DB1">
          <w:pgSz w:w="16840" w:h="11910" w:orient="landscape"/>
          <w:pgMar w:top="1340" w:right="1420" w:bottom="1320" w:left="920" w:header="751" w:footer="731" w:gutter="0"/>
          <w:cols w:space="720"/>
          <w:docGrid w:linePitch="299"/>
        </w:sectPr>
      </w:pPr>
    </w:p>
    <w:tbl>
      <w:tblPr>
        <w:tblW w:w="144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96"/>
      </w:tblGrid>
      <w:tr w:rsidR="005B7C8F" w14:paraId="3F57655D" w14:textId="77777777" w:rsidTr="007B1DB1">
        <w:trPr>
          <w:trHeight w:val="1156"/>
        </w:trPr>
        <w:tc>
          <w:tcPr>
            <w:tcW w:w="14496" w:type="dxa"/>
          </w:tcPr>
          <w:p w14:paraId="3F57655C" w14:textId="77777777" w:rsidR="005B7C8F" w:rsidRDefault="000D1B56">
            <w:pPr>
              <w:pStyle w:val="TableParagraph"/>
              <w:spacing w:before="0"/>
              <w:ind w:right="197"/>
              <w:rPr>
                <w:sz w:val="18"/>
              </w:rPr>
            </w:pPr>
            <w:r>
              <w:rPr>
                <w:sz w:val="18"/>
              </w:rPr>
              <w:lastRenderedPageBreak/>
              <w:t>The processing which is under</w:t>
            </w:r>
            <w:r>
              <w:rPr>
                <w:sz w:val="18"/>
              </w:rPr>
              <w:t>taken by EMIS Health on our behalf is governed by the terms of the GP Systems of Choice Framework Agreement (together with the relevant Call Off Contract) which includes broad data protection obligations and we are able to directly enforce those obligation</w:t>
            </w:r>
            <w:r>
              <w:rPr>
                <w:sz w:val="18"/>
              </w:rPr>
              <w:t>s against the processor pursuant to a deed of undertaking which has been signed by EMIS Health and which each individual practice can rely upon.</w:t>
            </w:r>
          </w:p>
        </w:tc>
      </w:tr>
    </w:tbl>
    <w:p w14:paraId="7158AA27" w14:textId="77777777" w:rsidR="00FE121B" w:rsidRDefault="00FE121B">
      <w:pPr>
        <w:spacing w:before="114"/>
        <w:ind w:left="100"/>
        <w:rPr>
          <w:b/>
          <w:sz w:val="18"/>
        </w:rPr>
      </w:pPr>
    </w:p>
    <w:tbl>
      <w:tblPr>
        <w:tblStyle w:val="TableGrid"/>
        <w:tblW w:w="4998" w:type="pct"/>
        <w:tblLayout w:type="fixed"/>
        <w:tblLook w:val="04A0" w:firstRow="1" w:lastRow="0" w:firstColumn="1" w:lastColumn="0" w:noHBand="0" w:noVBand="1"/>
      </w:tblPr>
      <w:tblGrid>
        <w:gridCol w:w="3734"/>
        <w:gridCol w:w="1046"/>
        <w:gridCol w:w="1086"/>
        <w:gridCol w:w="1052"/>
        <w:gridCol w:w="4287"/>
        <w:gridCol w:w="1066"/>
        <w:gridCol w:w="1072"/>
        <w:gridCol w:w="1141"/>
      </w:tblGrid>
      <w:tr w:rsidR="007B1DB1" w:rsidRPr="00BB4B35" w14:paraId="412C404F" w14:textId="77777777" w:rsidTr="007B1DB1">
        <w:trPr>
          <w:trHeight w:hRule="exact" w:val="1134"/>
        </w:trPr>
        <w:tc>
          <w:tcPr>
            <w:tcW w:w="1288" w:type="pct"/>
            <w:shd w:val="clear" w:color="auto" w:fill="DBE5F1" w:themeFill="accent1" w:themeFillTint="33"/>
            <w:vAlign w:val="center"/>
          </w:tcPr>
          <w:p w14:paraId="317CA639" w14:textId="77777777" w:rsidR="007B1DB1" w:rsidRPr="00BB4B35" w:rsidRDefault="007B1DB1" w:rsidP="00683880">
            <w:pPr>
              <w:spacing w:line="360" w:lineRule="auto"/>
              <w:rPr>
                <w:rFonts w:ascii="Arial Nova Light" w:hAnsi="Arial Nova Light"/>
                <w:b/>
                <w:sz w:val="20"/>
                <w:szCs w:val="20"/>
              </w:rPr>
            </w:pPr>
            <w:r w:rsidRPr="00A36A82">
              <w:rPr>
                <w:rFonts w:ascii="Arial Nova Light" w:hAnsi="Arial Nova Light"/>
                <w:b/>
                <w:sz w:val="20"/>
                <w:szCs w:val="20"/>
              </w:rPr>
              <w:t xml:space="preserve">Describe source of risk and nature of potential impact on individuals. </w:t>
            </w:r>
          </w:p>
        </w:tc>
        <w:tc>
          <w:tcPr>
            <w:tcW w:w="361" w:type="pct"/>
            <w:shd w:val="clear" w:color="auto" w:fill="DBE5F1" w:themeFill="accent1" w:themeFillTint="33"/>
            <w:vAlign w:val="center"/>
          </w:tcPr>
          <w:p w14:paraId="1601975A" w14:textId="77777777" w:rsidR="007B1DB1" w:rsidRPr="00BB4B35" w:rsidRDefault="007B1DB1" w:rsidP="00683880">
            <w:pPr>
              <w:spacing w:line="360" w:lineRule="auto"/>
              <w:rPr>
                <w:rFonts w:ascii="Arial Nova Light" w:hAnsi="Arial Nova Light"/>
                <w:b/>
                <w:sz w:val="20"/>
                <w:szCs w:val="20"/>
              </w:rPr>
            </w:pPr>
            <w:r w:rsidRPr="00A36A82">
              <w:rPr>
                <w:rFonts w:ascii="Arial Nova Light" w:hAnsi="Arial Nova Light"/>
                <w:b/>
                <w:sz w:val="20"/>
                <w:szCs w:val="20"/>
              </w:rPr>
              <w:t>Likelihood of harm</w:t>
            </w:r>
            <w:r w:rsidRPr="00A36A82">
              <w:rPr>
                <w:rFonts w:ascii="Arial Nova Light" w:hAnsi="Arial Nova Light"/>
                <w:b/>
                <w:sz w:val="20"/>
                <w:szCs w:val="20"/>
              </w:rPr>
              <w:tab/>
            </w:r>
          </w:p>
        </w:tc>
        <w:tc>
          <w:tcPr>
            <w:tcW w:w="375" w:type="pct"/>
            <w:shd w:val="clear" w:color="auto" w:fill="DBE5F1" w:themeFill="accent1" w:themeFillTint="33"/>
            <w:vAlign w:val="center"/>
          </w:tcPr>
          <w:p w14:paraId="561810FA" w14:textId="77777777" w:rsidR="007B1DB1" w:rsidRPr="00BB4B35" w:rsidRDefault="007B1DB1" w:rsidP="00683880">
            <w:pPr>
              <w:spacing w:line="360" w:lineRule="auto"/>
              <w:rPr>
                <w:rFonts w:ascii="Arial Nova Light" w:hAnsi="Arial Nova Light"/>
                <w:b/>
                <w:sz w:val="20"/>
                <w:szCs w:val="20"/>
              </w:rPr>
            </w:pPr>
            <w:r w:rsidRPr="00A36A82">
              <w:rPr>
                <w:rFonts w:ascii="Arial Nova Light" w:hAnsi="Arial Nova Light"/>
                <w:b/>
                <w:sz w:val="20"/>
                <w:szCs w:val="20"/>
              </w:rPr>
              <w:t>Severity of harm</w:t>
            </w:r>
          </w:p>
        </w:tc>
        <w:tc>
          <w:tcPr>
            <w:tcW w:w="363" w:type="pct"/>
            <w:shd w:val="clear" w:color="auto" w:fill="DBE5F1" w:themeFill="accent1" w:themeFillTint="33"/>
            <w:vAlign w:val="center"/>
          </w:tcPr>
          <w:p w14:paraId="74502EA1" w14:textId="77777777" w:rsidR="007B1DB1" w:rsidRPr="00BB4B35" w:rsidRDefault="007B1DB1" w:rsidP="00683880">
            <w:pPr>
              <w:spacing w:line="360" w:lineRule="auto"/>
              <w:rPr>
                <w:rFonts w:ascii="Arial Nova Light" w:hAnsi="Arial Nova Light"/>
                <w:b/>
                <w:sz w:val="20"/>
                <w:szCs w:val="20"/>
              </w:rPr>
            </w:pPr>
            <w:r>
              <w:rPr>
                <w:rFonts w:ascii="Arial Nova Light" w:hAnsi="Arial Nova Light"/>
                <w:b/>
                <w:sz w:val="20"/>
                <w:szCs w:val="20"/>
              </w:rPr>
              <w:t>Inherent Risk</w:t>
            </w:r>
          </w:p>
        </w:tc>
        <w:tc>
          <w:tcPr>
            <w:tcW w:w="1479" w:type="pct"/>
            <w:shd w:val="clear" w:color="auto" w:fill="DBE5F1" w:themeFill="accent1" w:themeFillTint="33"/>
            <w:vAlign w:val="center"/>
          </w:tcPr>
          <w:p w14:paraId="4319DCE9" w14:textId="77777777" w:rsidR="007B1DB1" w:rsidRPr="00BB4B35" w:rsidRDefault="007B1DB1" w:rsidP="00683880">
            <w:pPr>
              <w:spacing w:line="360" w:lineRule="auto"/>
              <w:rPr>
                <w:rFonts w:ascii="Arial Nova Light" w:hAnsi="Arial Nova Light"/>
                <w:b/>
                <w:sz w:val="20"/>
                <w:szCs w:val="20"/>
              </w:rPr>
            </w:pPr>
            <w:r w:rsidRPr="00072E13">
              <w:rPr>
                <w:rFonts w:ascii="Arial Nova Light" w:hAnsi="Arial Nova Light"/>
                <w:b/>
                <w:sz w:val="20"/>
                <w:szCs w:val="20"/>
              </w:rPr>
              <w:t>Options to reduce or eliminate risk</w:t>
            </w:r>
          </w:p>
        </w:tc>
        <w:tc>
          <w:tcPr>
            <w:tcW w:w="368" w:type="pct"/>
            <w:shd w:val="clear" w:color="auto" w:fill="DBE5F1" w:themeFill="accent1" w:themeFillTint="33"/>
            <w:vAlign w:val="center"/>
          </w:tcPr>
          <w:p w14:paraId="523CAB63" w14:textId="77777777" w:rsidR="007B1DB1" w:rsidRPr="00BB4B35" w:rsidRDefault="007B1DB1" w:rsidP="00683880">
            <w:pPr>
              <w:spacing w:line="360" w:lineRule="auto"/>
              <w:rPr>
                <w:rFonts w:ascii="Arial Nova Light" w:hAnsi="Arial Nova Light"/>
                <w:b/>
                <w:sz w:val="20"/>
                <w:szCs w:val="20"/>
              </w:rPr>
            </w:pPr>
            <w:r w:rsidRPr="00072E13">
              <w:rPr>
                <w:rFonts w:ascii="Arial Nova Light" w:hAnsi="Arial Nova Light"/>
                <w:b/>
                <w:sz w:val="20"/>
                <w:szCs w:val="20"/>
              </w:rPr>
              <w:t>Effect on risk</w:t>
            </w:r>
          </w:p>
        </w:tc>
        <w:tc>
          <w:tcPr>
            <w:tcW w:w="370" w:type="pct"/>
            <w:shd w:val="clear" w:color="auto" w:fill="DBE5F1" w:themeFill="accent1" w:themeFillTint="33"/>
            <w:vAlign w:val="center"/>
          </w:tcPr>
          <w:p w14:paraId="7C87DF82" w14:textId="77777777" w:rsidR="007B1DB1" w:rsidRPr="00BB4B35" w:rsidRDefault="007B1DB1" w:rsidP="00683880">
            <w:pPr>
              <w:spacing w:line="360" w:lineRule="auto"/>
              <w:rPr>
                <w:rFonts w:ascii="Arial Nova Light" w:hAnsi="Arial Nova Light"/>
                <w:b/>
                <w:sz w:val="20"/>
                <w:szCs w:val="20"/>
              </w:rPr>
            </w:pPr>
            <w:r w:rsidRPr="00072E13">
              <w:rPr>
                <w:rFonts w:ascii="Arial Nova Light" w:hAnsi="Arial Nova Light"/>
                <w:b/>
                <w:sz w:val="20"/>
                <w:szCs w:val="20"/>
              </w:rPr>
              <w:t>Residual risk</w:t>
            </w:r>
          </w:p>
        </w:tc>
        <w:tc>
          <w:tcPr>
            <w:tcW w:w="394" w:type="pct"/>
            <w:shd w:val="clear" w:color="auto" w:fill="DBE5F1" w:themeFill="accent1" w:themeFillTint="33"/>
            <w:vAlign w:val="center"/>
          </w:tcPr>
          <w:p w14:paraId="039689AC" w14:textId="77777777" w:rsidR="007B1DB1" w:rsidRPr="00BB4B35" w:rsidRDefault="007B1DB1" w:rsidP="00683880">
            <w:pPr>
              <w:spacing w:line="360" w:lineRule="auto"/>
              <w:rPr>
                <w:rFonts w:ascii="Arial Nova Light" w:hAnsi="Arial Nova Light"/>
                <w:b/>
                <w:sz w:val="20"/>
                <w:szCs w:val="20"/>
              </w:rPr>
            </w:pPr>
            <w:r w:rsidRPr="00072E13">
              <w:rPr>
                <w:rFonts w:ascii="Arial Nova Light" w:hAnsi="Arial Nova Light"/>
                <w:b/>
                <w:sz w:val="20"/>
                <w:szCs w:val="20"/>
              </w:rPr>
              <w:t>Measure approved</w:t>
            </w:r>
          </w:p>
        </w:tc>
      </w:tr>
      <w:tr w:rsidR="007B1DB1" w:rsidRPr="00D41AED" w14:paraId="78AA67AB" w14:textId="77777777" w:rsidTr="007B1DB1">
        <w:trPr>
          <w:trHeight w:val="1588"/>
        </w:trPr>
        <w:tc>
          <w:tcPr>
            <w:tcW w:w="1288" w:type="pct"/>
            <w:vAlign w:val="center"/>
          </w:tcPr>
          <w:p w14:paraId="59ABF2B6" w14:textId="77777777" w:rsidR="007B1DB1" w:rsidRPr="00251DCC" w:rsidRDefault="007B1DB1" w:rsidP="00683880">
            <w:pPr>
              <w:spacing w:line="360" w:lineRule="auto"/>
              <w:rPr>
                <w:rFonts w:ascii="Arial Nova Light" w:hAnsi="Arial Nova Light"/>
                <w:sz w:val="18"/>
                <w:szCs w:val="18"/>
              </w:rPr>
            </w:pPr>
            <w:r>
              <w:rPr>
                <w:rFonts w:ascii="Arial Nova Light" w:hAnsi="Arial Nova Light"/>
                <w:sz w:val="18"/>
                <w:szCs w:val="18"/>
              </w:rPr>
              <w:t>There is a risk that data subjects (patients) will not expect this kind of processing or that it is otherwise unlawful</w:t>
            </w:r>
          </w:p>
        </w:tc>
        <w:tc>
          <w:tcPr>
            <w:tcW w:w="361" w:type="pct"/>
            <w:vAlign w:val="center"/>
          </w:tcPr>
          <w:p w14:paraId="348B0C0E" w14:textId="77777777" w:rsidR="007B1DB1" w:rsidRDefault="007B1DB1" w:rsidP="00683880">
            <w:pPr>
              <w:spacing w:line="360" w:lineRule="auto"/>
              <w:rPr>
                <w:rFonts w:ascii="Arial Nova Light" w:hAnsi="Arial Nova Light"/>
                <w:sz w:val="18"/>
                <w:szCs w:val="18"/>
              </w:rPr>
            </w:pPr>
            <w:r>
              <w:rPr>
                <w:rFonts w:ascii="Arial Nova Light" w:hAnsi="Arial Nova Light"/>
                <w:sz w:val="18"/>
                <w:szCs w:val="18"/>
              </w:rPr>
              <w:t>Remote (1)</w:t>
            </w:r>
          </w:p>
        </w:tc>
        <w:tc>
          <w:tcPr>
            <w:tcW w:w="375" w:type="pct"/>
            <w:shd w:val="clear" w:color="auto" w:fill="auto"/>
            <w:vAlign w:val="center"/>
          </w:tcPr>
          <w:p w14:paraId="555A4A0E" w14:textId="77777777" w:rsidR="007B1DB1" w:rsidRDefault="007B1DB1" w:rsidP="00683880">
            <w:pPr>
              <w:spacing w:line="360" w:lineRule="auto"/>
              <w:rPr>
                <w:rFonts w:ascii="Arial Nova Light" w:hAnsi="Arial Nova Light"/>
                <w:sz w:val="18"/>
                <w:szCs w:val="18"/>
              </w:rPr>
            </w:pPr>
            <w:r>
              <w:rPr>
                <w:rFonts w:ascii="Arial Nova Light" w:hAnsi="Arial Nova Light"/>
                <w:sz w:val="18"/>
                <w:szCs w:val="18"/>
              </w:rPr>
              <w:t>Significant (3)</w:t>
            </w:r>
          </w:p>
        </w:tc>
        <w:tc>
          <w:tcPr>
            <w:tcW w:w="363" w:type="pct"/>
            <w:shd w:val="clear" w:color="auto" w:fill="auto"/>
            <w:vAlign w:val="center"/>
          </w:tcPr>
          <w:p w14:paraId="03D7D42E" w14:textId="77777777" w:rsidR="007B1DB1" w:rsidRPr="00D41AED" w:rsidRDefault="007B1DB1" w:rsidP="00683880">
            <w:pPr>
              <w:spacing w:line="360" w:lineRule="auto"/>
              <w:rPr>
                <w:rFonts w:ascii="Arial Nova Light" w:hAnsi="Arial Nova Light"/>
                <w:sz w:val="18"/>
                <w:szCs w:val="18"/>
              </w:rPr>
            </w:pPr>
            <w:r>
              <w:rPr>
                <w:rFonts w:ascii="Arial Nova Light" w:hAnsi="Arial Nova Light"/>
                <w:sz w:val="18"/>
                <w:szCs w:val="18"/>
              </w:rPr>
              <w:t>Medium (3)</w:t>
            </w:r>
          </w:p>
        </w:tc>
        <w:tc>
          <w:tcPr>
            <w:tcW w:w="1479" w:type="pct"/>
            <w:shd w:val="clear" w:color="auto" w:fill="auto"/>
            <w:vAlign w:val="center"/>
          </w:tcPr>
          <w:p w14:paraId="09F39B11" w14:textId="77777777" w:rsidR="007B1DB1" w:rsidRPr="004972D4" w:rsidRDefault="007B1DB1" w:rsidP="00683880">
            <w:pPr>
              <w:spacing w:line="360" w:lineRule="auto"/>
              <w:rPr>
                <w:rFonts w:ascii="Arial Nova Light" w:hAnsi="Arial Nova Light"/>
                <w:sz w:val="18"/>
                <w:szCs w:val="18"/>
              </w:rPr>
            </w:pPr>
            <w:r>
              <w:rPr>
                <w:rFonts w:ascii="Arial Nova Light" w:hAnsi="Arial Nova Light"/>
                <w:sz w:val="18"/>
                <w:szCs w:val="18"/>
              </w:rPr>
              <w:t>EMIS has confirmed that they have</w:t>
            </w:r>
            <w:r w:rsidRPr="004972D4">
              <w:rPr>
                <w:rFonts w:ascii="Arial Nova Light" w:hAnsi="Arial Nova Light"/>
                <w:sz w:val="18"/>
                <w:szCs w:val="18"/>
              </w:rPr>
              <w:t xml:space="preserve"> engaged with NHS Digital in order</w:t>
            </w:r>
            <w:r>
              <w:rPr>
                <w:rFonts w:ascii="Arial Nova Light" w:hAnsi="Arial Nova Light"/>
                <w:sz w:val="18"/>
                <w:szCs w:val="18"/>
              </w:rPr>
              <w:t xml:space="preserve"> </w:t>
            </w:r>
            <w:r w:rsidRPr="004972D4">
              <w:rPr>
                <w:rFonts w:ascii="Arial Nova Light" w:hAnsi="Arial Nova Light"/>
                <w:sz w:val="18"/>
                <w:szCs w:val="18"/>
              </w:rPr>
              <w:t>to secure a variation to the framework agreement to provide for the appointment of AWS as an approved</w:t>
            </w:r>
          </w:p>
          <w:p w14:paraId="6190910C" w14:textId="77777777" w:rsidR="007B1DB1" w:rsidRDefault="007B1DB1" w:rsidP="00683880">
            <w:pPr>
              <w:spacing w:line="360" w:lineRule="auto"/>
              <w:rPr>
                <w:rFonts w:ascii="Arial Nova Light" w:hAnsi="Arial Nova Light"/>
                <w:sz w:val="18"/>
                <w:szCs w:val="18"/>
              </w:rPr>
            </w:pPr>
            <w:r w:rsidRPr="004972D4">
              <w:rPr>
                <w:rFonts w:ascii="Arial Nova Light" w:hAnsi="Arial Nova Light"/>
                <w:sz w:val="18"/>
                <w:szCs w:val="18"/>
              </w:rPr>
              <w:t>material sub-contractor.</w:t>
            </w:r>
          </w:p>
          <w:p w14:paraId="02196A35" w14:textId="77777777" w:rsidR="007B1DB1" w:rsidRDefault="007B1DB1" w:rsidP="00683880">
            <w:pPr>
              <w:spacing w:line="360" w:lineRule="auto"/>
              <w:rPr>
                <w:rFonts w:ascii="Arial Nova Light" w:hAnsi="Arial Nova Light"/>
                <w:sz w:val="18"/>
                <w:szCs w:val="18"/>
              </w:rPr>
            </w:pPr>
            <w:r>
              <w:rPr>
                <w:rFonts w:ascii="Arial Nova Light" w:hAnsi="Arial Nova Light"/>
                <w:sz w:val="18"/>
                <w:szCs w:val="18"/>
              </w:rPr>
              <w:t>The change is compatible with the lawful basis of processing, such that it is necessary to effectively discharge public functions and for medical purposes.</w:t>
            </w:r>
          </w:p>
          <w:p w14:paraId="240C1580" w14:textId="77777777" w:rsidR="007B1DB1" w:rsidRPr="00BF5BF2" w:rsidRDefault="007B1DB1" w:rsidP="00683880">
            <w:pPr>
              <w:spacing w:line="360" w:lineRule="auto"/>
              <w:rPr>
                <w:rFonts w:ascii="Arial Nova Light" w:hAnsi="Arial Nova Light"/>
                <w:sz w:val="18"/>
                <w:szCs w:val="18"/>
              </w:rPr>
            </w:pPr>
            <w:r>
              <w:rPr>
                <w:rFonts w:ascii="Arial Nova Light" w:hAnsi="Arial Nova Light"/>
                <w:sz w:val="18"/>
                <w:szCs w:val="18"/>
              </w:rPr>
              <w:t>Data subjects will be notified through texts, posters and updating the practice websites.</w:t>
            </w:r>
          </w:p>
        </w:tc>
        <w:tc>
          <w:tcPr>
            <w:tcW w:w="368" w:type="pct"/>
            <w:shd w:val="clear" w:color="auto" w:fill="auto"/>
            <w:vAlign w:val="center"/>
          </w:tcPr>
          <w:p w14:paraId="7EA18359" w14:textId="77777777" w:rsidR="007B1DB1" w:rsidRPr="00D41AED" w:rsidRDefault="007B1DB1" w:rsidP="00683880">
            <w:pPr>
              <w:spacing w:line="360" w:lineRule="auto"/>
              <w:rPr>
                <w:rFonts w:ascii="Arial Nova Light" w:hAnsi="Arial Nova Light"/>
                <w:sz w:val="18"/>
                <w:szCs w:val="18"/>
              </w:rPr>
            </w:pPr>
            <w:r w:rsidRPr="00D41AED">
              <w:rPr>
                <w:rFonts w:ascii="Arial Nova Light" w:hAnsi="Arial Nova Light"/>
                <w:sz w:val="18"/>
                <w:szCs w:val="18"/>
              </w:rPr>
              <w:t>Reduced</w:t>
            </w:r>
          </w:p>
        </w:tc>
        <w:tc>
          <w:tcPr>
            <w:tcW w:w="370" w:type="pct"/>
            <w:shd w:val="clear" w:color="auto" w:fill="auto"/>
            <w:vAlign w:val="center"/>
          </w:tcPr>
          <w:p w14:paraId="1538F8DA" w14:textId="77777777" w:rsidR="007B1DB1" w:rsidRPr="00D41AED" w:rsidRDefault="007B1DB1" w:rsidP="00683880">
            <w:pPr>
              <w:spacing w:line="360" w:lineRule="auto"/>
              <w:rPr>
                <w:rFonts w:ascii="Arial Nova Light" w:hAnsi="Arial Nova Light"/>
                <w:sz w:val="18"/>
                <w:szCs w:val="18"/>
              </w:rPr>
            </w:pPr>
            <w:r w:rsidRPr="00D41AED">
              <w:rPr>
                <w:rFonts w:ascii="Arial Nova Light" w:hAnsi="Arial Nova Light"/>
                <w:sz w:val="18"/>
                <w:szCs w:val="18"/>
              </w:rPr>
              <w:t>Low</w:t>
            </w:r>
            <w:r>
              <w:rPr>
                <w:rFonts w:ascii="Arial Nova Light" w:hAnsi="Arial Nova Light"/>
                <w:sz w:val="18"/>
                <w:szCs w:val="18"/>
              </w:rPr>
              <w:t xml:space="preserve"> (2)</w:t>
            </w:r>
          </w:p>
        </w:tc>
        <w:tc>
          <w:tcPr>
            <w:tcW w:w="394" w:type="pct"/>
            <w:shd w:val="clear" w:color="auto" w:fill="auto"/>
            <w:vAlign w:val="center"/>
          </w:tcPr>
          <w:p w14:paraId="45AF7F10" w14:textId="77777777" w:rsidR="007B1DB1" w:rsidRPr="00D41AED" w:rsidRDefault="007B1DB1" w:rsidP="00683880">
            <w:pPr>
              <w:spacing w:line="360" w:lineRule="auto"/>
              <w:rPr>
                <w:rFonts w:ascii="Arial Nova Light" w:hAnsi="Arial Nova Light"/>
                <w:sz w:val="18"/>
                <w:szCs w:val="18"/>
              </w:rPr>
            </w:pPr>
            <w:r w:rsidRPr="00D41AED">
              <w:rPr>
                <w:rFonts w:ascii="Arial Nova Light" w:hAnsi="Arial Nova Light"/>
                <w:sz w:val="18"/>
                <w:szCs w:val="18"/>
              </w:rPr>
              <w:t>Yes</w:t>
            </w:r>
          </w:p>
        </w:tc>
      </w:tr>
      <w:tr w:rsidR="007B1DB1" w:rsidRPr="00D41AED" w14:paraId="033F9EF7" w14:textId="77777777" w:rsidTr="007B1DB1">
        <w:trPr>
          <w:trHeight w:val="1588"/>
        </w:trPr>
        <w:tc>
          <w:tcPr>
            <w:tcW w:w="1288" w:type="pct"/>
            <w:vAlign w:val="center"/>
            <w:hideMark/>
          </w:tcPr>
          <w:p w14:paraId="3C5809AD" w14:textId="77777777" w:rsidR="007B1DB1" w:rsidRPr="00D41AED" w:rsidRDefault="007B1DB1" w:rsidP="00683880">
            <w:pPr>
              <w:spacing w:line="360" w:lineRule="auto"/>
              <w:rPr>
                <w:rFonts w:ascii="Arial Nova Light" w:hAnsi="Arial Nova Light"/>
                <w:sz w:val="18"/>
                <w:szCs w:val="18"/>
              </w:rPr>
            </w:pPr>
            <w:r w:rsidRPr="00251DCC">
              <w:rPr>
                <w:rFonts w:ascii="Arial Nova Light" w:hAnsi="Arial Nova Light"/>
                <w:sz w:val="18"/>
                <w:szCs w:val="18"/>
              </w:rPr>
              <w:t xml:space="preserve">Loss </w:t>
            </w:r>
            <w:r>
              <w:rPr>
                <w:rFonts w:ascii="Arial Nova Light" w:hAnsi="Arial Nova Light"/>
                <w:sz w:val="18"/>
                <w:szCs w:val="18"/>
              </w:rPr>
              <w:t xml:space="preserve">or interception </w:t>
            </w:r>
            <w:r w:rsidRPr="00251DCC">
              <w:rPr>
                <w:rFonts w:ascii="Arial Nova Light" w:hAnsi="Arial Nova Light"/>
                <w:sz w:val="18"/>
                <w:szCs w:val="18"/>
              </w:rPr>
              <w:t>of data in the transfer of data to the sub-processor</w:t>
            </w:r>
          </w:p>
        </w:tc>
        <w:tc>
          <w:tcPr>
            <w:tcW w:w="361" w:type="pct"/>
            <w:vAlign w:val="center"/>
            <w:hideMark/>
          </w:tcPr>
          <w:p w14:paraId="187803BF" w14:textId="77777777" w:rsidR="007B1DB1" w:rsidRPr="00D41AED" w:rsidRDefault="007B1DB1" w:rsidP="00683880">
            <w:pPr>
              <w:spacing w:line="360" w:lineRule="auto"/>
              <w:rPr>
                <w:rFonts w:ascii="Arial Nova Light" w:hAnsi="Arial Nova Light"/>
                <w:sz w:val="18"/>
                <w:szCs w:val="18"/>
              </w:rPr>
            </w:pPr>
            <w:r>
              <w:rPr>
                <w:rFonts w:ascii="Arial Nova Light" w:hAnsi="Arial Nova Light"/>
                <w:sz w:val="18"/>
                <w:szCs w:val="18"/>
              </w:rPr>
              <w:t>Remote</w:t>
            </w:r>
            <w:r w:rsidRPr="00D41AED">
              <w:rPr>
                <w:rFonts w:ascii="Arial Nova Light" w:hAnsi="Arial Nova Light"/>
                <w:sz w:val="18"/>
                <w:szCs w:val="18"/>
              </w:rPr>
              <w:t xml:space="preserve"> (</w:t>
            </w:r>
            <w:r>
              <w:rPr>
                <w:rFonts w:ascii="Arial Nova Light" w:hAnsi="Arial Nova Light"/>
                <w:sz w:val="18"/>
                <w:szCs w:val="18"/>
              </w:rPr>
              <w:t>1</w:t>
            </w:r>
            <w:r w:rsidRPr="00D41AED">
              <w:rPr>
                <w:rFonts w:ascii="Arial Nova Light" w:hAnsi="Arial Nova Light"/>
                <w:sz w:val="18"/>
                <w:szCs w:val="18"/>
              </w:rPr>
              <w:t>)</w:t>
            </w:r>
          </w:p>
        </w:tc>
        <w:tc>
          <w:tcPr>
            <w:tcW w:w="375" w:type="pct"/>
            <w:shd w:val="clear" w:color="auto" w:fill="auto"/>
            <w:vAlign w:val="center"/>
            <w:hideMark/>
          </w:tcPr>
          <w:p w14:paraId="4F347E51" w14:textId="77777777" w:rsidR="007B1DB1" w:rsidRPr="00D41AED" w:rsidRDefault="007B1DB1" w:rsidP="00683880">
            <w:pPr>
              <w:spacing w:line="360" w:lineRule="auto"/>
              <w:rPr>
                <w:rFonts w:ascii="Arial Nova Light" w:hAnsi="Arial Nova Light"/>
                <w:sz w:val="18"/>
                <w:szCs w:val="18"/>
              </w:rPr>
            </w:pPr>
            <w:r>
              <w:rPr>
                <w:rFonts w:ascii="Arial Nova Light" w:hAnsi="Arial Nova Light"/>
                <w:sz w:val="18"/>
                <w:szCs w:val="18"/>
              </w:rPr>
              <w:t>Severe</w:t>
            </w:r>
            <w:r w:rsidRPr="00D41AED">
              <w:rPr>
                <w:rFonts w:ascii="Arial Nova Light" w:hAnsi="Arial Nova Light"/>
                <w:sz w:val="18"/>
                <w:szCs w:val="18"/>
              </w:rPr>
              <w:t xml:space="preserve"> (</w:t>
            </w:r>
            <w:r>
              <w:rPr>
                <w:rFonts w:ascii="Arial Nova Light" w:hAnsi="Arial Nova Light"/>
                <w:sz w:val="18"/>
                <w:szCs w:val="18"/>
              </w:rPr>
              <w:t>4</w:t>
            </w:r>
            <w:r w:rsidRPr="00D41AED">
              <w:rPr>
                <w:rFonts w:ascii="Arial Nova Light" w:hAnsi="Arial Nova Light"/>
                <w:sz w:val="18"/>
                <w:szCs w:val="18"/>
              </w:rPr>
              <w:t>)</w:t>
            </w:r>
          </w:p>
        </w:tc>
        <w:tc>
          <w:tcPr>
            <w:tcW w:w="363" w:type="pct"/>
            <w:shd w:val="clear" w:color="auto" w:fill="auto"/>
            <w:vAlign w:val="center"/>
          </w:tcPr>
          <w:p w14:paraId="2BDED1A7" w14:textId="77777777" w:rsidR="007B1DB1" w:rsidRPr="00D41AED" w:rsidRDefault="007B1DB1" w:rsidP="00683880">
            <w:pPr>
              <w:spacing w:line="360" w:lineRule="auto"/>
              <w:rPr>
                <w:rFonts w:ascii="Arial Nova Light" w:hAnsi="Arial Nova Light"/>
                <w:sz w:val="18"/>
                <w:szCs w:val="18"/>
              </w:rPr>
            </w:pPr>
            <w:r w:rsidRPr="00D41AED">
              <w:rPr>
                <w:rFonts w:ascii="Arial Nova Light" w:hAnsi="Arial Nova Light"/>
                <w:sz w:val="18"/>
                <w:szCs w:val="18"/>
              </w:rPr>
              <w:t>Medium (</w:t>
            </w:r>
            <w:r>
              <w:rPr>
                <w:rFonts w:ascii="Arial Nova Light" w:hAnsi="Arial Nova Light"/>
                <w:sz w:val="18"/>
                <w:szCs w:val="18"/>
              </w:rPr>
              <w:t>4</w:t>
            </w:r>
            <w:r w:rsidRPr="00D41AED">
              <w:rPr>
                <w:rFonts w:ascii="Arial Nova Light" w:hAnsi="Arial Nova Light"/>
                <w:sz w:val="18"/>
                <w:szCs w:val="18"/>
              </w:rPr>
              <w:t>)</w:t>
            </w:r>
          </w:p>
        </w:tc>
        <w:tc>
          <w:tcPr>
            <w:tcW w:w="1479" w:type="pct"/>
            <w:shd w:val="clear" w:color="auto" w:fill="auto"/>
            <w:vAlign w:val="center"/>
          </w:tcPr>
          <w:p w14:paraId="1E1DC08C" w14:textId="77777777" w:rsidR="007B1DB1" w:rsidRDefault="007B1DB1" w:rsidP="00683880">
            <w:pPr>
              <w:spacing w:line="360" w:lineRule="auto"/>
              <w:rPr>
                <w:rFonts w:ascii="Arial Nova Light" w:hAnsi="Arial Nova Light"/>
                <w:sz w:val="18"/>
                <w:szCs w:val="18"/>
              </w:rPr>
            </w:pPr>
            <w:r w:rsidRPr="00BF5BF2">
              <w:rPr>
                <w:rFonts w:ascii="Arial Nova Light" w:hAnsi="Arial Nova Light"/>
                <w:sz w:val="18"/>
                <w:szCs w:val="18"/>
              </w:rPr>
              <w:t>The data will be encrypted both in transit and AWS will not have access to the encryption keys. See https://aws.amazon.com/security/ for further details).</w:t>
            </w:r>
          </w:p>
          <w:p w14:paraId="76707C45" w14:textId="77777777" w:rsidR="007B1DB1" w:rsidRDefault="007B1DB1" w:rsidP="00683880">
            <w:pPr>
              <w:spacing w:line="360" w:lineRule="auto"/>
              <w:rPr>
                <w:rFonts w:ascii="Arial Nova Light" w:hAnsi="Arial Nova Light"/>
                <w:sz w:val="18"/>
                <w:szCs w:val="18"/>
              </w:rPr>
            </w:pPr>
            <w:r w:rsidRPr="00190DD2">
              <w:rPr>
                <w:rFonts w:ascii="Arial Nova Light" w:hAnsi="Arial Nova Light"/>
                <w:sz w:val="18"/>
                <w:szCs w:val="18"/>
              </w:rPr>
              <w:t>EMIS Health will retain a copy of the data in its current hosting centre unless or until there is evidence that all of the relevant data has been transferred.</w:t>
            </w:r>
          </w:p>
          <w:p w14:paraId="545C52DC" w14:textId="77777777" w:rsidR="007B1DB1" w:rsidRPr="00D41AED" w:rsidRDefault="007B1DB1" w:rsidP="00683880">
            <w:pPr>
              <w:spacing w:line="360" w:lineRule="auto"/>
              <w:rPr>
                <w:rFonts w:ascii="Arial Nova Light" w:hAnsi="Arial Nova Light"/>
                <w:sz w:val="18"/>
                <w:szCs w:val="18"/>
              </w:rPr>
            </w:pPr>
            <w:r>
              <w:rPr>
                <w:rFonts w:ascii="Arial Nova Light" w:hAnsi="Arial Nova Light"/>
                <w:sz w:val="18"/>
                <w:szCs w:val="18"/>
              </w:rPr>
              <w:t>EMIS are bound by a Data Processing contract that requires them to employ appropriate technical and organisational measures to protect the data</w:t>
            </w:r>
          </w:p>
        </w:tc>
        <w:tc>
          <w:tcPr>
            <w:tcW w:w="368" w:type="pct"/>
            <w:shd w:val="clear" w:color="auto" w:fill="auto"/>
            <w:vAlign w:val="center"/>
          </w:tcPr>
          <w:p w14:paraId="74E39C0F" w14:textId="77777777" w:rsidR="007B1DB1" w:rsidRPr="00D41AED" w:rsidRDefault="007B1DB1" w:rsidP="00683880">
            <w:pPr>
              <w:spacing w:line="360" w:lineRule="auto"/>
              <w:rPr>
                <w:rFonts w:ascii="Arial Nova Light" w:hAnsi="Arial Nova Light"/>
                <w:sz w:val="18"/>
                <w:szCs w:val="18"/>
              </w:rPr>
            </w:pPr>
            <w:r w:rsidRPr="00D41AED">
              <w:rPr>
                <w:rFonts w:ascii="Arial Nova Light" w:hAnsi="Arial Nova Light"/>
                <w:sz w:val="18"/>
                <w:szCs w:val="18"/>
              </w:rPr>
              <w:t>Reduced</w:t>
            </w:r>
          </w:p>
        </w:tc>
        <w:tc>
          <w:tcPr>
            <w:tcW w:w="370" w:type="pct"/>
            <w:shd w:val="clear" w:color="auto" w:fill="auto"/>
            <w:vAlign w:val="center"/>
          </w:tcPr>
          <w:p w14:paraId="5AE6D8FE" w14:textId="77777777" w:rsidR="007B1DB1" w:rsidRPr="00D41AED" w:rsidRDefault="007B1DB1" w:rsidP="00683880">
            <w:pPr>
              <w:spacing w:line="360" w:lineRule="auto"/>
              <w:rPr>
                <w:rFonts w:ascii="Arial Nova Light" w:hAnsi="Arial Nova Light"/>
                <w:sz w:val="18"/>
                <w:szCs w:val="18"/>
              </w:rPr>
            </w:pPr>
            <w:r w:rsidRPr="00D41AED">
              <w:rPr>
                <w:rFonts w:ascii="Arial Nova Light" w:hAnsi="Arial Nova Light"/>
                <w:sz w:val="18"/>
                <w:szCs w:val="18"/>
              </w:rPr>
              <w:t>Low</w:t>
            </w:r>
            <w:r>
              <w:rPr>
                <w:rFonts w:ascii="Arial Nova Light" w:hAnsi="Arial Nova Light"/>
                <w:sz w:val="18"/>
                <w:szCs w:val="18"/>
              </w:rPr>
              <w:t xml:space="preserve"> (2)</w:t>
            </w:r>
          </w:p>
        </w:tc>
        <w:tc>
          <w:tcPr>
            <w:tcW w:w="394" w:type="pct"/>
            <w:shd w:val="clear" w:color="auto" w:fill="auto"/>
            <w:vAlign w:val="center"/>
          </w:tcPr>
          <w:p w14:paraId="651F77B1" w14:textId="77777777" w:rsidR="007B1DB1" w:rsidRPr="00D41AED" w:rsidRDefault="007B1DB1" w:rsidP="00683880">
            <w:pPr>
              <w:spacing w:line="360" w:lineRule="auto"/>
              <w:rPr>
                <w:rFonts w:ascii="Arial Nova Light" w:hAnsi="Arial Nova Light"/>
                <w:sz w:val="18"/>
                <w:szCs w:val="18"/>
              </w:rPr>
            </w:pPr>
            <w:r w:rsidRPr="00D41AED">
              <w:rPr>
                <w:rFonts w:ascii="Arial Nova Light" w:hAnsi="Arial Nova Light"/>
                <w:sz w:val="18"/>
                <w:szCs w:val="18"/>
              </w:rPr>
              <w:t>Yes</w:t>
            </w:r>
          </w:p>
        </w:tc>
      </w:tr>
      <w:tr w:rsidR="007B1DB1" w:rsidRPr="00D41AED" w14:paraId="508860BC" w14:textId="77777777" w:rsidTr="007B1DB1">
        <w:trPr>
          <w:trHeight w:val="1695"/>
        </w:trPr>
        <w:tc>
          <w:tcPr>
            <w:tcW w:w="1288" w:type="pct"/>
            <w:vAlign w:val="center"/>
            <w:hideMark/>
          </w:tcPr>
          <w:p w14:paraId="3AC21F28" w14:textId="77777777" w:rsidR="007B1DB1" w:rsidRPr="00D41AED" w:rsidRDefault="007B1DB1" w:rsidP="00683880">
            <w:pPr>
              <w:spacing w:line="360" w:lineRule="auto"/>
              <w:rPr>
                <w:rFonts w:ascii="Arial Nova Light" w:hAnsi="Arial Nova Light"/>
                <w:sz w:val="18"/>
                <w:szCs w:val="18"/>
              </w:rPr>
            </w:pPr>
            <w:r>
              <w:rPr>
                <w:rFonts w:ascii="Arial Nova Light" w:hAnsi="Arial Nova Light"/>
                <w:sz w:val="18"/>
                <w:szCs w:val="18"/>
              </w:rPr>
              <w:lastRenderedPageBreak/>
              <w:t>Unauthorised or inappropriate access by the</w:t>
            </w:r>
            <w:r w:rsidRPr="00CB048F">
              <w:rPr>
                <w:rFonts w:ascii="Arial Nova Light" w:hAnsi="Arial Nova Light"/>
                <w:sz w:val="18"/>
                <w:szCs w:val="18"/>
              </w:rPr>
              <w:t xml:space="preserve"> sub-processor</w:t>
            </w:r>
          </w:p>
        </w:tc>
        <w:tc>
          <w:tcPr>
            <w:tcW w:w="361" w:type="pct"/>
            <w:vAlign w:val="center"/>
            <w:hideMark/>
          </w:tcPr>
          <w:p w14:paraId="44320891" w14:textId="77777777" w:rsidR="007B1DB1" w:rsidRPr="00D41AED" w:rsidRDefault="007B1DB1" w:rsidP="00683880">
            <w:pPr>
              <w:spacing w:line="360" w:lineRule="auto"/>
              <w:rPr>
                <w:rFonts w:ascii="Arial Nova Light" w:hAnsi="Arial Nova Light"/>
                <w:sz w:val="18"/>
                <w:szCs w:val="18"/>
              </w:rPr>
            </w:pPr>
            <w:r w:rsidRPr="00D41AED">
              <w:rPr>
                <w:rFonts w:ascii="Arial Nova Light" w:hAnsi="Arial Nova Light"/>
                <w:sz w:val="18"/>
                <w:szCs w:val="18"/>
              </w:rPr>
              <w:t>Remote (1)</w:t>
            </w:r>
          </w:p>
        </w:tc>
        <w:tc>
          <w:tcPr>
            <w:tcW w:w="375" w:type="pct"/>
            <w:shd w:val="clear" w:color="auto" w:fill="auto"/>
            <w:vAlign w:val="center"/>
            <w:hideMark/>
          </w:tcPr>
          <w:p w14:paraId="4E7F74A6" w14:textId="77777777" w:rsidR="007B1DB1" w:rsidRPr="00D41AED" w:rsidRDefault="007B1DB1" w:rsidP="00683880">
            <w:pPr>
              <w:spacing w:line="360" w:lineRule="auto"/>
              <w:rPr>
                <w:rFonts w:ascii="Arial Nova Light" w:hAnsi="Arial Nova Light"/>
                <w:sz w:val="18"/>
                <w:szCs w:val="18"/>
              </w:rPr>
            </w:pPr>
            <w:r>
              <w:rPr>
                <w:rFonts w:ascii="Arial Nova Light" w:hAnsi="Arial Nova Light"/>
                <w:sz w:val="18"/>
                <w:szCs w:val="18"/>
              </w:rPr>
              <w:t>Severe</w:t>
            </w:r>
            <w:r w:rsidRPr="00D41AED">
              <w:rPr>
                <w:rFonts w:ascii="Arial Nova Light" w:hAnsi="Arial Nova Light"/>
                <w:sz w:val="18"/>
                <w:szCs w:val="18"/>
              </w:rPr>
              <w:t xml:space="preserve"> (</w:t>
            </w:r>
            <w:r>
              <w:rPr>
                <w:rFonts w:ascii="Arial Nova Light" w:hAnsi="Arial Nova Light"/>
                <w:sz w:val="18"/>
                <w:szCs w:val="18"/>
              </w:rPr>
              <w:t>4</w:t>
            </w:r>
            <w:r w:rsidRPr="00D41AED">
              <w:rPr>
                <w:rFonts w:ascii="Arial Nova Light" w:hAnsi="Arial Nova Light"/>
                <w:sz w:val="18"/>
                <w:szCs w:val="18"/>
              </w:rPr>
              <w:t>)</w:t>
            </w:r>
          </w:p>
        </w:tc>
        <w:tc>
          <w:tcPr>
            <w:tcW w:w="363" w:type="pct"/>
            <w:shd w:val="clear" w:color="auto" w:fill="auto"/>
            <w:vAlign w:val="center"/>
          </w:tcPr>
          <w:p w14:paraId="0AAAD335" w14:textId="77777777" w:rsidR="007B1DB1" w:rsidRPr="00D41AED" w:rsidRDefault="007B1DB1" w:rsidP="00683880">
            <w:pPr>
              <w:spacing w:line="360" w:lineRule="auto"/>
              <w:rPr>
                <w:rFonts w:ascii="Arial Nova Light" w:hAnsi="Arial Nova Light"/>
                <w:sz w:val="18"/>
                <w:szCs w:val="18"/>
              </w:rPr>
            </w:pPr>
            <w:r>
              <w:rPr>
                <w:rFonts w:ascii="Arial Nova Light" w:hAnsi="Arial Nova Light"/>
                <w:sz w:val="18"/>
                <w:szCs w:val="18"/>
              </w:rPr>
              <w:t>Medium</w:t>
            </w:r>
            <w:r w:rsidRPr="00D41AED">
              <w:rPr>
                <w:rFonts w:ascii="Arial Nova Light" w:hAnsi="Arial Nova Light"/>
                <w:sz w:val="18"/>
                <w:szCs w:val="18"/>
              </w:rPr>
              <w:t xml:space="preserve"> (</w:t>
            </w:r>
            <w:r>
              <w:rPr>
                <w:rFonts w:ascii="Arial Nova Light" w:hAnsi="Arial Nova Light"/>
                <w:sz w:val="18"/>
                <w:szCs w:val="18"/>
              </w:rPr>
              <w:t>4</w:t>
            </w:r>
            <w:r w:rsidRPr="00D41AED">
              <w:rPr>
                <w:rFonts w:ascii="Arial Nova Light" w:hAnsi="Arial Nova Light"/>
                <w:sz w:val="18"/>
                <w:szCs w:val="18"/>
              </w:rPr>
              <w:t>)</w:t>
            </w:r>
          </w:p>
        </w:tc>
        <w:tc>
          <w:tcPr>
            <w:tcW w:w="1479" w:type="pct"/>
            <w:shd w:val="clear" w:color="auto" w:fill="auto"/>
          </w:tcPr>
          <w:p w14:paraId="567555FE" w14:textId="77777777" w:rsidR="007B1DB1" w:rsidRPr="00D41AED" w:rsidRDefault="007B1DB1" w:rsidP="00683880">
            <w:pPr>
              <w:spacing w:line="360" w:lineRule="auto"/>
              <w:rPr>
                <w:rFonts w:ascii="Arial Nova Light" w:hAnsi="Arial Nova Light"/>
                <w:sz w:val="18"/>
                <w:szCs w:val="18"/>
              </w:rPr>
            </w:pPr>
            <w:r w:rsidRPr="00822AA2">
              <w:rPr>
                <w:rFonts w:ascii="Arial Nova Light" w:hAnsi="Arial Nova Light"/>
                <w:sz w:val="18"/>
                <w:szCs w:val="18"/>
              </w:rPr>
              <w:t>We are informed that the way in which the AWS service operates means that there is no opportunity for AWS employees to access or view the data held within the EMIS Health allocated areas of the hosting service. The data will be encrypted</w:t>
            </w:r>
            <w:r>
              <w:t xml:space="preserve"> </w:t>
            </w:r>
            <w:r w:rsidRPr="00822AA2">
              <w:rPr>
                <w:rFonts w:ascii="Arial Nova Light" w:hAnsi="Arial Nova Light"/>
                <w:sz w:val="18"/>
                <w:szCs w:val="18"/>
              </w:rPr>
              <w:t>both at</w:t>
            </w:r>
            <w:r>
              <w:t xml:space="preserve"> </w:t>
            </w:r>
            <w:r w:rsidRPr="00822AA2">
              <w:rPr>
                <w:rFonts w:ascii="Arial Nova Light" w:hAnsi="Arial Nova Light"/>
                <w:sz w:val="18"/>
                <w:szCs w:val="18"/>
              </w:rPr>
              <w:t>rest and in transit and AWS will not have access to the encryption keys. See https://aws.amazon.com/security/ for further details). AWS already provides numerous services to Governmental organisations (such as Crown Commercial Services and the Ministry of Justice (see - https://aws.amazon.com/solutions/casestudies/uk-moj/) who will have undertaken their own detailed assessments.</w:t>
            </w:r>
          </w:p>
        </w:tc>
        <w:tc>
          <w:tcPr>
            <w:tcW w:w="368" w:type="pct"/>
            <w:shd w:val="clear" w:color="auto" w:fill="auto"/>
            <w:vAlign w:val="center"/>
          </w:tcPr>
          <w:p w14:paraId="6E70E4E3" w14:textId="77777777" w:rsidR="007B1DB1" w:rsidRPr="00D41AED" w:rsidRDefault="007B1DB1" w:rsidP="00683880">
            <w:pPr>
              <w:spacing w:line="360" w:lineRule="auto"/>
              <w:rPr>
                <w:rFonts w:ascii="Arial Nova Light" w:hAnsi="Arial Nova Light"/>
                <w:sz w:val="18"/>
                <w:szCs w:val="18"/>
              </w:rPr>
            </w:pPr>
            <w:r w:rsidRPr="00D41AED">
              <w:rPr>
                <w:rFonts w:ascii="Arial Nova Light" w:hAnsi="Arial Nova Light"/>
                <w:sz w:val="18"/>
                <w:szCs w:val="18"/>
              </w:rPr>
              <w:t>Reduced</w:t>
            </w:r>
          </w:p>
        </w:tc>
        <w:tc>
          <w:tcPr>
            <w:tcW w:w="370" w:type="pct"/>
            <w:shd w:val="clear" w:color="auto" w:fill="auto"/>
            <w:vAlign w:val="center"/>
          </w:tcPr>
          <w:p w14:paraId="7C09BCB7" w14:textId="77777777" w:rsidR="007B1DB1" w:rsidRPr="00D41AED" w:rsidRDefault="007B1DB1" w:rsidP="00683880">
            <w:pPr>
              <w:spacing w:line="360" w:lineRule="auto"/>
              <w:rPr>
                <w:rFonts w:ascii="Arial Nova Light" w:hAnsi="Arial Nova Light"/>
                <w:sz w:val="18"/>
                <w:szCs w:val="18"/>
              </w:rPr>
            </w:pPr>
            <w:r w:rsidRPr="00D41AED">
              <w:rPr>
                <w:rFonts w:ascii="Arial Nova Light" w:hAnsi="Arial Nova Light"/>
                <w:sz w:val="18"/>
                <w:szCs w:val="18"/>
              </w:rPr>
              <w:t>Low</w:t>
            </w:r>
            <w:r>
              <w:rPr>
                <w:rFonts w:ascii="Arial Nova Light" w:hAnsi="Arial Nova Light"/>
                <w:sz w:val="18"/>
                <w:szCs w:val="18"/>
              </w:rPr>
              <w:t xml:space="preserve"> (2)</w:t>
            </w:r>
          </w:p>
        </w:tc>
        <w:tc>
          <w:tcPr>
            <w:tcW w:w="394" w:type="pct"/>
            <w:shd w:val="clear" w:color="auto" w:fill="auto"/>
            <w:vAlign w:val="center"/>
          </w:tcPr>
          <w:p w14:paraId="1C99BA2F" w14:textId="77777777" w:rsidR="007B1DB1" w:rsidRPr="00D41AED" w:rsidRDefault="007B1DB1" w:rsidP="00683880">
            <w:pPr>
              <w:spacing w:line="360" w:lineRule="auto"/>
              <w:rPr>
                <w:rFonts w:ascii="Arial Nova Light" w:hAnsi="Arial Nova Light"/>
                <w:sz w:val="18"/>
                <w:szCs w:val="18"/>
              </w:rPr>
            </w:pPr>
            <w:r w:rsidRPr="00D41AED">
              <w:rPr>
                <w:rFonts w:ascii="Arial Nova Light" w:hAnsi="Arial Nova Light"/>
                <w:sz w:val="18"/>
                <w:szCs w:val="18"/>
              </w:rPr>
              <w:t>Yes</w:t>
            </w:r>
          </w:p>
        </w:tc>
      </w:tr>
      <w:tr w:rsidR="007B1DB1" w:rsidRPr="0035612A" w14:paraId="58C3797C" w14:textId="77777777" w:rsidTr="007B1DB1">
        <w:tc>
          <w:tcPr>
            <w:tcW w:w="1288" w:type="pct"/>
            <w:shd w:val="clear" w:color="auto" w:fill="auto"/>
            <w:vAlign w:val="center"/>
          </w:tcPr>
          <w:p w14:paraId="1AF3E6F6" w14:textId="77777777" w:rsidR="007B1DB1" w:rsidRPr="0035612A" w:rsidRDefault="007B1DB1" w:rsidP="00683880">
            <w:pPr>
              <w:spacing w:line="360" w:lineRule="auto"/>
              <w:rPr>
                <w:rFonts w:ascii="Arial Nova Light" w:hAnsi="Arial Nova Light"/>
                <w:sz w:val="18"/>
                <w:szCs w:val="18"/>
              </w:rPr>
            </w:pPr>
            <w:r w:rsidRPr="0035612A">
              <w:rPr>
                <w:rFonts w:ascii="Arial Nova Light" w:hAnsi="Arial Nova Light"/>
                <w:sz w:val="18"/>
                <w:szCs w:val="18"/>
              </w:rPr>
              <w:t>There is a risk that data becomes vulnerable to cyber-attack.</w:t>
            </w:r>
          </w:p>
          <w:p w14:paraId="19F03CF7" w14:textId="77777777" w:rsidR="007B1DB1" w:rsidRPr="0035612A" w:rsidRDefault="007B1DB1" w:rsidP="00683880">
            <w:pPr>
              <w:spacing w:line="360" w:lineRule="auto"/>
              <w:rPr>
                <w:rFonts w:ascii="Arial Nova Light" w:hAnsi="Arial Nova Light"/>
                <w:sz w:val="18"/>
                <w:szCs w:val="18"/>
              </w:rPr>
            </w:pPr>
            <w:r w:rsidRPr="0035612A">
              <w:rPr>
                <w:rFonts w:ascii="Arial Nova Light" w:hAnsi="Arial Nova Light"/>
                <w:sz w:val="18"/>
                <w:szCs w:val="18"/>
              </w:rPr>
              <w:t>This could result in sensitive patient data being accessed by unauthorised individuals or disclosed to wider public.</w:t>
            </w:r>
          </w:p>
        </w:tc>
        <w:tc>
          <w:tcPr>
            <w:tcW w:w="361" w:type="pct"/>
            <w:shd w:val="clear" w:color="auto" w:fill="auto"/>
            <w:vAlign w:val="center"/>
          </w:tcPr>
          <w:p w14:paraId="305FA227" w14:textId="77777777" w:rsidR="007B1DB1" w:rsidRPr="0035612A" w:rsidRDefault="007B1DB1" w:rsidP="00683880">
            <w:pPr>
              <w:spacing w:line="360" w:lineRule="auto"/>
              <w:rPr>
                <w:rFonts w:ascii="Arial Nova Light" w:hAnsi="Arial Nova Light"/>
                <w:sz w:val="18"/>
                <w:szCs w:val="18"/>
              </w:rPr>
            </w:pPr>
            <w:r>
              <w:rPr>
                <w:rFonts w:ascii="Arial Nova Light" w:hAnsi="Arial Nova Light"/>
                <w:sz w:val="18"/>
                <w:szCs w:val="18"/>
              </w:rPr>
              <w:t>Remote</w:t>
            </w:r>
            <w:r w:rsidRPr="00D41AED">
              <w:rPr>
                <w:rFonts w:ascii="Arial Nova Light" w:hAnsi="Arial Nova Light"/>
                <w:sz w:val="18"/>
                <w:szCs w:val="18"/>
              </w:rPr>
              <w:t xml:space="preserve"> (</w:t>
            </w:r>
            <w:r>
              <w:rPr>
                <w:rFonts w:ascii="Arial Nova Light" w:hAnsi="Arial Nova Light"/>
                <w:sz w:val="18"/>
                <w:szCs w:val="18"/>
              </w:rPr>
              <w:t>1</w:t>
            </w:r>
            <w:r w:rsidRPr="00D41AED">
              <w:rPr>
                <w:rFonts w:ascii="Arial Nova Light" w:hAnsi="Arial Nova Light"/>
                <w:sz w:val="18"/>
                <w:szCs w:val="18"/>
              </w:rPr>
              <w:t>)</w:t>
            </w:r>
          </w:p>
        </w:tc>
        <w:tc>
          <w:tcPr>
            <w:tcW w:w="375" w:type="pct"/>
            <w:shd w:val="clear" w:color="auto" w:fill="auto"/>
            <w:vAlign w:val="center"/>
          </w:tcPr>
          <w:p w14:paraId="5FDC8483" w14:textId="77777777" w:rsidR="007B1DB1" w:rsidRPr="0035612A" w:rsidRDefault="007B1DB1" w:rsidP="00683880">
            <w:pPr>
              <w:spacing w:line="360" w:lineRule="auto"/>
              <w:rPr>
                <w:rFonts w:ascii="Arial Nova Light" w:hAnsi="Arial Nova Light"/>
                <w:sz w:val="18"/>
                <w:szCs w:val="18"/>
              </w:rPr>
            </w:pPr>
            <w:r>
              <w:rPr>
                <w:rFonts w:ascii="Arial Nova Light" w:hAnsi="Arial Nova Light"/>
                <w:sz w:val="18"/>
                <w:szCs w:val="18"/>
              </w:rPr>
              <w:t>Severe</w:t>
            </w:r>
            <w:r w:rsidRPr="00D41AED">
              <w:rPr>
                <w:rFonts w:ascii="Arial Nova Light" w:hAnsi="Arial Nova Light"/>
                <w:sz w:val="18"/>
                <w:szCs w:val="18"/>
              </w:rPr>
              <w:t xml:space="preserve"> (</w:t>
            </w:r>
            <w:r>
              <w:rPr>
                <w:rFonts w:ascii="Arial Nova Light" w:hAnsi="Arial Nova Light"/>
                <w:sz w:val="18"/>
                <w:szCs w:val="18"/>
              </w:rPr>
              <w:t>4</w:t>
            </w:r>
            <w:r w:rsidRPr="00D41AED">
              <w:rPr>
                <w:rFonts w:ascii="Arial Nova Light" w:hAnsi="Arial Nova Light"/>
                <w:sz w:val="18"/>
                <w:szCs w:val="18"/>
              </w:rPr>
              <w:t>)</w:t>
            </w:r>
          </w:p>
        </w:tc>
        <w:tc>
          <w:tcPr>
            <w:tcW w:w="363" w:type="pct"/>
            <w:shd w:val="clear" w:color="auto" w:fill="auto"/>
            <w:vAlign w:val="center"/>
          </w:tcPr>
          <w:p w14:paraId="29D48755" w14:textId="77777777" w:rsidR="007B1DB1" w:rsidRPr="0035612A" w:rsidRDefault="007B1DB1" w:rsidP="00683880">
            <w:pPr>
              <w:spacing w:line="360" w:lineRule="auto"/>
              <w:rPr>
                <w:rFonts w:ascii="Arial Nova Light" w:hAnsi="Arial Nova Light"/>
                <w:sz w:val="18"/>
                <w:szCs w:val="18"/>
              </w:rPr>
            </w:pPr>
            <w:r w:rsidRPr="00D41AED">
              <w:rPr>
                <w:rFonts w:ascii="Arial Nova Light" w:hAnsi="Arial Nova Light"/>
                <w:sz w:val="18"/>
                <w:szCs w:val="18"/>
              </w:rPr>
              <w:t>Medium (</w:t>
            </w:r>
            <w:r>
              <w:rPr>
                <w:rFonts w:ascii="Arial Nova Light" w:hAnsi="Arial Nova Light"/>
                <w:sz w:val="18"/>
                <w:szCs w:val="18"/>
              </w:rPr>
              <w:t>4</w:t>
            </w:r>
            <w:r w:rsidRPr="00D41AED">
              <w:rPr>
                <w:rFonts w:ascii="Arial Nova Light" w:hAnsi="Arial Nova Light"/>
                <w:sz w:val="18"/>
                <w:szCs w:val="18"/>
              </w:rPr>
              <w:t>)</w:t>
            </w:r>
          </w:p>
        </w:tc>
        <w:tc>
          <w:tcPr>
            <w:tcW w:w="1479" w:type="pct"/>
            <w:shd w:val="clear" w:color="auto" w:fill="auto"/>
            <w:vAlign w:val="center"/>
          </w:tcPr>
          <w:p w14:paraId="59589760" w14:textId="77777777" w:rsidR="007B1DB1" w:rsidRDefault="007B1DB1" w:rsidP="00683880">
            <w:pPr>
              <w:spacing w:line="360" w:lineRule="auto"/>
              <w:rPr>
                <w:rFonts w:ascii="Arial Nova Light" w:hAnsi="Arial Nova Light"/>
                <w:sz w:val="18"/>
                <w:szCs w:val="18"/>
              </w:rPr>
            </w:pPr>
            <w:r w:rsidRPr="00BF5BF2">
              <w:rPr>
                <w:rFonts w:ascii="Arial Nova Light" w:hAnsi="Arial Nova Light"/>
                <w:sz w:val="18"/>
                <w:szCs w:val="18"/>
              </w:rPr>
              <w:t>The data will be encrypted both in transit and AWS will not have access to the encryption keys. See https://aws.amazon.com/security/ for further details).</w:t>
            </w:r>
          </w:p>
          <w:p w14:paraId="36B4335D" w14:textId="77777777" w:rsidR="007B1DB1" w:rsidRDefault="007B1DB1" w:rsidP="00683880">
            <w:pPr>
              <w:spacing w:line="360" w:lineRule="auto"/>
              <w:rPr>
                <w:rFonts w:ascii="Arial Nova Light" w:hAnsi="Arial Nova Light"/>
                <w:sz w:val="18"/>
                <w:szCs w:val="18"/>
              </w:rPr>
            </w:pPr>
            <w:r w:rsidRPr="00190DD2">
              <w:rPr>
                <w:rFonts w:ascii="Arial Nova Light" w:hAnsi="Arial Nova Light"/>
                <w:sz w:val="18"/>
                <w:szCs w:val="18"/>
              </w:rPr>
              <w:t>EMIS Health will retain a copy of the data in its current hosting centre unless or until there is evidence that all of the relevant data has been transferred.</w:t>
            </w:r>
          </w:p>
          <w:p w14:paraId="3A23496F" w14:textId="77777777" w:rsidR="007B1DB1" w:rsidRPr="0035612A" w:rsidRDefault="007B1DB1" w:rsidP="00683880">
            <w:pPr>
              <w:spacing w:line="360" w:lineRule="auto"/>
              <w:rPr>
                <w:rFonts w:ascii="Arial Nova Light" w:hAnsi="Arial Nova Light"/>
                <w:sz w:val="18"/>
                <w:szCs w:val="18"/>
              </w:rPr>
            </w:pPr>
            <w:r>
              <w:rPr>
                <w:rFonts w:ascii="Arial Nova Light" w:hAnsi="Arial Nova Light"/>
                <w:sz w:val="18"/>
                <w:szCs w:val="18"/>
              </w:rPr>
              <w:t>EMIS are bound by a Data Processing contract that requires them to employ appropriate technical and organisational measures to protect the data</w:t>
            </w:r>
          </w:p>
        </w:tc>
        <w:tc>
          <w:tcPr>
            <w:tcW w:w="368" w:type="pct"/>
            <w:shd w:val="clear" w:color="auto" w:fill="auto"/>
            <w:vAlign w:val="center"/>
          </w:tcPr>
          <w:p w14:paraId="76C4E836" w14:textId="77777777" w:rsidR="007B1DB1" w:rsidRDefault="007B1DB1" w:rsidP="00683880">
            <w:pPr>
              <w:spacing w:line="360" w:lineRule="auto"/>
              <w:rPr>
                <w:rFonts w:ascii="Arial Nova Light" w:hAnsi="Arial Nova Light"/>
                <w:sz w:val="18"/>
                <w:szCs w:val="18"/>
              </w:rPr>
            </w:pPr>
          </w:p>
          <w:p w14:paraId="7B0D44FE" w14:textId="77777777" w:rsidR="007B1DB1" w:rsidRPr="0035612A" w:rsidRDefault="007B1DB1" w:rsidP="00683880">
            <w:pPr>
              <w:spacing w:line="360" w:lineRule="auto"/>
              <w:rPr>
                <w:rFonts w:ascii="Arial Nova Light" w:hAnsi="Arial Nova Light"/>
                <w:sz w:val="18"/>
                <w:szCs w:val="18"/>
              </w:rPr>
            </w:pPr>
            <w:r w:rsidRPr="0035612A">
              <w:rPr>
                <w:rFonts w:ascii="Arial Nova Light" w:hAnsi="Arial Nova Light"/>
                <w:sz w:val="18"/>
                <w:szCs w:val="18"/>
              </w:rPr>
              <w:t>Reduced</w:t>
            </w:r>
          </w:p>
        </w:tc>
        <w:tc>
          <w:tcPr>
            <w:tcW w:w="370" w:type="pct"/>
            <w:shd w:val="clear" w:color="auto" w:fill="auto"/>
            <w:vAlign w:val="center"/>
          </w:tcPr>
          <w:p w14:paraId="471CBB56" w14:textId="77777777" w:rsidR="007B1DB1" w:rsidRDefault="007B1DB1" w:rsidP="00683880">
            <w:pPr>
              <w:spacing w:line="360" w:lineRule="auto"/>
              <w:rPr>
                <w:rFonts w:ascii="Arial Nova Light" w:hAnsi="Arial Nova Light"/>
                <w:sz w:val="18"/>
                <w:szCs w:val="18"/>
              </w:rPr>
            </w:pPr>
          </w:p>
          <w:p w14:paraId="344B9DD9" w14:textId="77777777" w:rsidR="007B1DB1" w:rsidRPr="0035612A" w:rsidRDefault="007B1DB1" w:rsidP="00683880">
            <w:pPr>
              <w:spacing w:line="360" w:lineRule="auto"/>
              <w:rPr>
                <w:rFonts w:ascii="Arial Nova Light" w:hAnsi="Arial Nova Light"/>
                <w:sz w:val="18"/>
                <w:szCs w:val="18"/>
              </w:rPr>
            </w:pPr>
            <w:r w:rsidRPr="0035612A">
              <w:rPr>
                <w:rFonts w:ascii="Arial Nova Light" w:hAnsi="Arial Nova Light"/>
                <w:sz w:val="18"/>
                <w:szCs w:val="18"/>
              </w:rPr>
              <w:t>Low (</w:t>
            </w:r>
            <w:r>
              <w:rPr>
                <w:rFonts w:ascii="Arial Nova Light" w:hAnsi="Arial Nova Light"/>
                <w:sz w:val="18"/>
                <w:szCs w:val="18"/>
              </w:rPr>
              <w:t>2</w:t>
            </w:r>
            <w:r w:rsidRPr="0035612A">
              <w:rPr>
                <w:rFonts w:ascii="Arial Nova Light" w:hAnsi="Arial Nova Light"/>
                <w:sz w:val="18"/>
                <w:szCs w:val="18"/>
              </w:rPr>
              <w:t>)</w:t>
            </w:r>
          </w:p>
        </w:tc>
        <w:tc>
          <w:tcPr>
            <w:tcW w:w="394" w:type="pct"/>
            <w:shd w:val="clear" w:color="auto" w:fill="auto"/>
            <w:vAlign w:val="center"/>
          </w:tcPr>
          <w:p w14:paraId="53F34BDF" w14:textId="77777777" w:rsidR="007B1DB1" w:rsidRDefault="007B1DB1" w:rsidP="00683880">
            <w:pPr>
              <w:spacing w:line="360" w:lineRule="auto"/>
              <w:rPr>
                <w:rFonts w:ascii="Arial Nova Light" w:hAnsi="Arial Nova Light"/>
                <w:sz w:val="18"/>
                <w:szCs w:val="18"/>
              </w:rPr>
            </w:pPr>
          </w:p>
          <w:p w14:paraId="37B29323" w14:textId="77777777" w:rsidR="007B1DB1" w:rsidRPr="0035612A" w:rsidRDefault="007B1DB1" w:rsidP="00683880">
            <w:pPr>
              <w:spacing w:line="360" w:lineRule="auto"/>
              <w:rPr>
                <w:rFonts w:ascii="Arial Nova Light" w:hAnsi="Arial Nova Light"/>
                <w:sz w:val="18"/>
                <w:szCs w:val="18"/>
              </w:rPr>
            </w:pPr>
            <w:r w:rsidRPr="0035612A">
              <w:rPr>
                <w:rFonts w:ascii="Arial Nova Light" w:hAnsi="Arial Nova Light"/>
                <w:sz w:val="18"/>
                <w:szCs w:val="18"/>
              </w:rPr>
              <w:t>Yes</w:t>
            </w:r>
          </w:p>
        </w:tc>
      </w:tr>
    </w:tbl>
    <w:p w14:paraId="066548CC" w14:textId="77777777" w:rsidR="00FE121B" w:rsidRDefault="00FE121B">
      <w:pPr>
        <w:spacing w:before="114"/>
        <w:ind w:left="100"/>
        <w:rPr>
          <w:b/>
          <w:sz w:val="18"/>
        </w:rPr>
      </w:pPr>
    </w:p>
    <w:p w14:paraId="3F576586" w14:textId="7184956C" w:rsidR="005B7C8F" w:rsidRDefault="000D1B56">
      <w:pPr>
        <w:spacing w:before="114"/>
        <w:ind w:left="100"/>
        <w:rPr>
          <w:b/>
          <w:sz w:val="18"/>
        </w:rPr>
      </w:pPr>
      <w:r>
        <w:rPr>
          <w:b/>
          <w:sz w:val="18"/>
        </w:rPr>
        <w:t>Step</w:t>
      </w:r>
      <w:r>
        <w:rPr>
          <w:b/>
          <w:spacing w:val="-1"/>
          <w:sz w:val="18"/>
        </w:rPr>
        <w:t xml:space="preserve"> </w:t>
      </w:r>
      <w:r>
        <w:rPr>
          <w:b/>
          <w:sz w:val="18"/>
        </w:rPr>
        <w:t>7:</w:t>
      </w:r>
    </w:p>
    <w:p w14:paraId="3F576587" w14:textId="77777777" w:rsidR="005B7C8F" w:rsidRDefault="005B7C8F">
      <w:pPr>
        <w:spacing w:before="10"/>
        <w:rPr>
          <w:b/>
          <w:sz w:val="10"/>
        </w:rPr>
      </w:pPr>
    </w:p>
    <w:tbl>
      <w:tblPr>
        <w:tblW w:w="144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2725"/>
        <w:gridCol w:w="8487"/>
      </w:tblGrid>
      <w:tr w:rsidR="005B7C8F" w14:paraId="3F57658B" w14:textId="77777777" w:rsidTr="007B1DB1">
        <w:trPr>
          <w:trHeight w:val="445"/>
        </w:trPr>
        <w:tc>
          <w:tcPr>
            <w:tcW w:w="3284" w:type="dxa"/>
          </w:tcPr>
          <w:p w14:paraId="3F576588" w14:textId="77777777" w:rsidR="005B7C8F" w:rsidRDefault="000D1B56">
            <w:pPr>
              <w:pStyle w:val="TableParagraph"/>
              <w:rPr>
                <w:sz w:val="18"/>
              </w:rPr>
            </w:pPr>
            <w:r>
              <w:rPr>
                <w:sz w:val="18"/>
              </w:rPr>
              <w:lastRenderedPageBreak/>
              <w:t>Item</w:t>
            </w:r>
          </w:p>
        </w:tc>
        <w:tc>
          <w:tcPr>
            <w:tcW w:w="2725" w:type="dxa"/>
          </w:tcPr>
          <w:p w14:paraId="3F576589" w14:textId="77777777" w:rsidR="005B7C8F" w:rsidRDefault="000D1B56">
            <w:pPr>
              <w:pStyle w:val="TableParagraph"/>
              <w:rPr>
                <w:sz w:val="18"/>
              </w:rPr>
            </w:pPr>
            <w:r>
              <w:rPr>
                <w:sz w:val="18"/>
              </w:rPr>
              <w:t>Name/Date</w:t>
            </w:r>
          </w:p>
        </w:tc>
        <w:tc>
          <w:tcPr>
            <w:tcW w:w="8487" w:type="dxa"/>
          </w:tcPr>
          <w:p w14:paraId="3F57658A" w14:textId="77777777" w:rsidR="005B7C8F" w:rsidRDefault="000D1B56">
            <w:pPr>
              <w:pStyle w:val="TableParagraph"/>
              <w:ind w:left="106"/>
              <w:rPr>
                <w:sz w:val="18"/>
              </w:rPr>
            </w:pPr>
            <w:r>
              <w:rPr>
                <w:sz w:val="18"/>
              </w:rPr>
              <w:t>Notes</w:t>
            </w:r>
          </w:p>
        </w:tc>
      </w:tr>
      <w:tr w:rsidR="005B7C8F" w14:paraId="3F57658F" w14:textId="77777777" w:rsidTr="002C1EE1">
        <w:trPr>
          <w:trHeight w:val="861"/>
        </w:trPr>
        <w:tc>
          <w:tcPr>
            <w:tcW w:w="3284" w:type="dxa"/>
            <w:vAlign w:val="center"/>
          </w:tcPr>
          <w:p w14:paraId="3F57658C" w14:textId="77777777" w:rsidR="005B7C8F" w:rsidRDefault="000D1B56" w:rsidP="002C1EE1">
            <w:pPr>
              <w:pStyle w:val="TableParagraph"/>
              <w:rPr>
                <w:sz w:val="18"/>
              </w:rPr>
            </w:pPr>
            <w:r>
              <w:rPr>
                <w:sz w:val="18"/>
              </w:rPr>
              <w:t>Measures approved by:</w:t>
            </w:r>
          </w:p>
        </w:tc>
        <w:tc>
          <w:tcPr>
            <w:tcW w:w="2725" w:type="dxa"/>
            <w:vAlign w:val="center"/>
          </w:tcPr>
          <w:p w14:paraId="116D98A0" w14:textId="77777777" w:rsidR="005B7C8F" w:rsidRDefault="002C1EE1" w:rsidP="002C1EE1">
            <w:pPr>
              <w:pStyle w:val="TableParagraph"/>
              <w:spacing w:before="0"/>
              <w:ind w:left="0"/>
              <w:rPr>
                <w:sz w:val="18"/>
              </w:rPr>
            </w:pPr>
            <w:r w:rsidRPr="002C1EE1">
              <w:rPr>
                <w:sz w:val="18"/>
              </w:rPr>
              <w:t>Kafico, DPO for linked practices</w:t>
            </w:r>
          </w:p>
          <w:p w14:paraId="3F57658D" w14:textId="629B0F20" w:rsidR="002C1EE1" w:rsidRPr="002C1EE1" w:rsidRDefault="002C1EE1" w:rsidP="002C1EE1">
            <w:pPr>
              <w:pStyle w:val="TableParagraph"/>
              <w:spacing w:before="0"/>
              <w:ind w:left="0"/>
              <w:rPr>
                <w:sz w:val="18"/>
              </w:rPr>
            </w:pPr>
            <w:r>
              <w:rPr>
                <w:sz w:val="18"/>
              </w:rPr>
              <w:t>SIRO for linked practices</w:t>
            </w:r>
          </w:p>
        </w:tc>
        <w:tc>
          <w:tcPr>
            <w:tcW w:w="8487" w:type="dxa"/>
            <w:vAlign w:val="center"/>
          </w:tcPr>
          <w:p w14:paraId="3F57658E" w14:textId="77777777" w:rsidR="005B7C8F" w:rsidRDefault="000D1B56" w:rsidP="002C1EE1">
            <w:pPr>
              <w:pStyle w:val="TableParagraph"/>
              <w:ind w:left="106" w:right="183"/>
              <w:rPr>
                <w:sz w:val="18"/>
              </w:rPr>
            </w:pPr>
            <w:r>
              <w:rPr>
                <w:sz w:val="18"/>
              </w:rPr>
              <w:t>Integrate actions back into project plan, with date and responsibility for completion</w:t>
            </w:r>
          </w:p>
        </w:tc>
      </w:tr>
      <w:tr w:rsidR="005B7C8F" w14:paraId="3F576593" w14:textId="77777777" w:rsidTr="002C1EE1">
        <w:trPr>
          <w:trHeight w:val="861"/>
        </w:trPr>
        <w:tc>
          <w:tcPr>
            <w:tcW w:w="3284" w:type="dxa"/>
            <w:vAlign w:val="center"/>
          </w:tcPr>
          <w:p w14:paraId="3F576590" w14:textId="77777777" w:rsidR="005B7C8F" w:rsidRDefault="000D1B56" w:rsidP="002C1EE1">
            <w:pPr>
              <w:pStyle w:val="TableParagraph"/>
              <w:rPr>
                <w:sz w:val="18"/>
              </w:rPr>
            </w:pPr>
            <w:r>
              <w:rPr>
                <w:sz w:val="18"/>
              </w:rPr>
              <w:t>Residual risks approved by:</w:t>
            </w:r>
          </w:p>
        </w:tc>
        <w:tc>
          <w:tcPr>
            <w:tcW w:w="2725" w:type="dxa"/>
            <w:vAlign w:val="center"/>
          </w:tcPr>
          <w:p w14:paraId="5F547542" w14:textId="77777777" w:rsidR="005B7C8F" w:rsidRDefault="002C1EE1" w:rsidP="002C1EE1">
            <w:pPr>
              <w:pStyle w:val="TableParagraph"/>
              <w:spacing w:before="0"/>
              <w:ind w:left="0"/>
              <w:rPr>
                <w:sz w:val="18"/>
              </w:rPr>
            </w:pPr>
            <w:r w:rsidRPr="002C1EE1">
              <w:rPr>
                <w:sz w:val="18"/>
              </w:rPr>
              <w:t>Kafico, DPO for linked practices</w:t>
            </w:r>
          </w:p>
          <w:p w14:paraId="3F576591" w14:textId="46235E6F" w:rsidR="002C1EE1" w:rsidRDefault="002C1EE1" w:rsidP="002C1EE1">
            <w:pPr>
              <w:pStyle w:val="TableParagraph"/>
              <w:spacing w:before="0"/>
              <w:ind w:left="0"/>
              <w:rPr>
                <w:rFonts w:ascii="Times New Roman"/>
                <w:sz w:val="18"/>
              </w:rPr>
            </w:pPr>
            <w:r>
              <w:rPr>
                <w:sz w:val="18"/>
              </w:rPr>
              <w:t>SIRO for linked practices</w:t>
            </w:r>
          </w:p>
        </w:tc>
        <w:tc>
          <w:tcPr>
            <w:tcW w:w="8487" w:type="dxa"/>
            <w:vAlign w:val="center"/>
          </w:tcPr>
          <w:p w14:paraId="3F576592" w14:textId="77777777" w:rsidR="005B7C8F" w:rsidRDefault="000D1B56" w:rsidP="002C1EE1">
            <w:pPr>
              <w:pStyle w:val="TableParagraph"/>
              <w:ind w:left="106" w:right="163"/>
              <w:rPr>
                <w:sz w:val="18"/>
              </w:rPr>
            </w:pPr>
            <w:r>
              <w:rPr>
                <w:sz w:val="18"/>
              </w:rPr>
              <w:t>If accepting any residual high risk, consult the ICO before going ahead</w:t>
            </w:r>
          </w:p>
        </w:tc>
      </w:tr>
    </w:tbl>
    <w:p w14:paraId="3F576594" w14:textId="77777777" w:rsidR="005B7C8F" w:rsidRDefault="005B7C8F">
      <w:pPr>
        <w:rPr>
          <w:sz w:val="18"/>
        </w:rPr>
        <w:sectPr w:rsidR="005B7C8F" w:rsidSect="007B1DB1">
          <w:pgSz w:w="16840" w:h="11910" w:orient="landscape"/>
          <w:pgMar w:top="1340" w:right="1420" w:bottom="1320" w:left="920" w:header="751" w:footer="731" w:gutter="0"/>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2725"/>
        <w:gridCol w:w="3011"/>
      </w:tblGrid>
      <w:tr w:rsidR="005B7C8F" w14:paraId="3F576598" w14:textId="77777777">
        <w:trPr>
          <w:trHeight w:val="861"/>
        </w:trPr>
        <w:tc>
          <w:tcPr>
            <w:tcW w:w="3284" w:type="dxa"/>
          </w:tcPr>
          <w:p w14:paraId="3F576595" w14:textId="77777777" w:rsidR="005B7C8F" w:rsidRDefault="000D1B56">
            <w:pPr>
              <w:pStyle w:val="TableParagraph"/>
              <w:rPr>
                <w:sz w:val="18"/>
              </w:rPr>
            </w:pPr>
            <w:r>
              <w:rPr>
                <w:sz w:val="18"/>
              </w:rPr>
              <w:lastRenderedPageBreak/>
              <w:t>DPO advice provided:</w:t>
            </w:r>
          </w:p>
        </w:tc>
        <w:tc>
          <w:tcPr>
            <w:tcW w:w="2725" w:type="dxa"/>
          </w:tcPr>
          <w:p w14:paraId="3F576596" w14:textId="77777777" w:rsidR="005B7C8F" w:rsidRDefault="005B7C8F">
            <w:pPr>
              <w:pStyle w:val="TableParagraph"/>
              <w:spacing w:before="0"/>
              <w:ind w:left="0"/>
              <w:rPr>
                <w:rFonts w:ascii="Times New Roman"/>
                <w:sz w:val="18"/>
              </w:rPr>
            </w:pPr>
          </w:p>
        </w:tc>
        <w:tc>
          <w:tcPr>
            <w:tcW w:w="3011" w:type="dxa"/>
          </w:tcPr>
          <w:p w14:paraId="3F576597" w14:textId="77777777" w:rsidR="005B7C8F" w:rsidRDefault="000D1B56">
            <w:pPr>
              <w:pStyle w:val="TableParagraph"/>
              <w:ind w:left="106" w:right="183"/>
              <w:rPr>
                <w:sz w:val="18"/>
              </w:rPr>
            </w:pPr>
            <w:r>
              <w:rPr>
                <w:sz w:val="18"/>
              </w:rPr>
              <w:t>DPO should advise on compliance, step 6 measures and whether processing can proceed</w:t>
            </w:r>
          </w:p>
        </w:tc>
      </w:tr>
      <w:tr w:rsidR="005B7C8F" w14:paraId="3F57659C" w14:textId="77777777">
        <w:trPr>
          <w:trHeight w:val="2135"/>
        </w:trPr>
        <w:tc>
          <w:tcPr>
            <w:tcW w:w="9020" w:type="dxa"/>
            <w:gridSpan w:val="3"/>
          </w:tcPr>
          <w:p w14:paraId="3F576599" w14:textId="77777777" w:rsidR="005B7C8F" w:rsidRDefault="000D1B56">
            <w:pPr>
              <w:pStyle w:val="TableParagraph"/>
              <w:rPr>
                <w:sz w:val="18"/>
              </w:rPr>
            </w:pPr>
            <w:r>
              <w:rPr>
                <w:sz w:val="18"/>
              </w:rPr>
              <w:t>Summary of DPO advice</w:t>
            </w:r>
          </w:p>
          <w:p w14:paraId="3F57659A" w14:textId="77777777" w:rsidR="005B7C8F" w:rsidRDefault="000D1B56">
            <w:pPr>
              <w:pStyle w:val="TableParagraph"/>
              <w:ind w:right="449"/>
              <w:rPr>
                <w:sz w:val="18"/>
              </w:rPr>
            </w:pPr>
            <w:r>
              <w:rPr>
                <w:sz w:val="18"/>
              </w:rPr>
              <w:t>[From the information provided by EM</w:t>
            </w:r>
            <w:r>
              <w:rPr>
                <w:sz w:val="18"/>
              </w:rPr>
              <w:t>IS Health, we are satisfied that the security; availability; integrity and confidentiality, of the patient data will improve as a result of the move to the AWS data service.</w:t>
            </w:r>
          </w:p>
          <w:p w14:paraId="3F57659B" w14:textId="77777777" w:rsidR="005B7C8F" w:rsidRDefault="000D1B56">
            <w:pPr>
              <w:pStyle w:val="TableParagraph"/>
              <w:spacing w:before="121"/>
              <w:ind w:right="89"/>
              <w:rPr>
                <w:sz w:val="18"/>
              </w:rPr>
            </w:pPr>
            <w:r>
              <w:rPr>
                <w:sz w:val="18"/>
              </w:rPr>
              <w:t>As noted above, the ICO guidance states that a processor has the ability to decide certain technical aspects of the processing, including “how the data is stored”. This change does not affect the underlying processing and the manner in which the processing</w:t>
            </w:r>
            <w:r>
              <w:rPr>
                <w:sz w:val="18"/>
              </w:rPr>
              <w:t xml:space="preserve"> is controlled by the practice (either directly or indirectly via NHS Digital) and from the practice’s and patient’s perspective nothing will change as a result of this technical/background switch.]</w:t>
            </w:r>
          </w:p>
        </w:tc>
      </w:tr>
      <w:tr w:rsidR="005B7C8F" w14:paraId="3F5765A0" w14:textId="77777777">
        <w:trPr>
          <w:trHeight w:val="654"/>
        </w:trPr>
        <w:tc>
          <w:tcPr>
            <w:tcW w:w="3284" w:type="dxa"/>
          </w:tcPr>
          <w:p w14:paraId="3F57659D" w14:textId="77777777" w:rsidR="005B7C8F" w:rsidRDefault="000D1B56">
            <w:pPr>
              <w:pStyle w:val="TableParagraph"/>
              <w:rPr>
                <w:sz w:val="18"/>
              </w:rPr>
            </w:pPr>
            <w:r>
              <w:rPr>
                <w:sz w:val="18"/>
              </w:rPr>
              <w:t>DPO advice accepted or overruled by:</w:t>
            </w:r>
          </w:p>
        </w:tc>
        <w:tc>
          <w:tcPr>
            <w:tcW w:w="2725" w:type="dxa"/>
          </w:tcPr>
          <w:p w14:paraId="3F57659E" w14:textId="77777777" w:rsidR="005B7C8F" w:rsidRDefault="005B7C8F">
            <w:pPr>
              <w:pStyle w:val="TableParagraph"/>
              <w:spacing w:before="0"/>
              <w:ind w:left="0"/>
              <w:rPr>
                <w:rFonts w:ascii="Times New Roman"/>
                <w:sz w:val="18"/>
              </w:rPr>
            </w:pPr>
          </w:p>
        </w:tc>
        <w:tc>
          <w:tcPr>
            <w:tcW w:w="3011" w:type="dxa"/>
          </w:tcPr>
          <w:p w14:paraId="3F57659F" w14:textId="77777777" w:rsidR="005B7C8F" w:rsidRDefault="000D1B56">
            <w:pPr>
              <w:pStyle w:val="TableParagraph"/>
              <w:ind w:left="106" w:right="123"/>
              <w:rPr>
                <w:sz w:val="18"/>
              </w:rPr>
            </w:pPr>
            <w:r>
              <w:rPr>
                <w:sz w:val="18"/>
              </w:rPr>
              <w:t xml:space="preserve">If overruled, you </w:t>
            </w:r>
            <w:r>
              <w:rPr>
                <w:sz w:val="18"/>
              </w:rPr>
              <w:t>must explain your reasons</w:t>
            </w:r>
          </w:p>
        </w:tc>
      </w:tr>
      <w:tr w:rsidR="005B7C8F" w14:paraId="3F5765A2" w14:textId="77777777">
        <w:trPr>
          <w:trHeight w:val="446"/>
        </w:trPr>
        <w:tc>
          <w:tcPr>
            <w:tcW w:w="9020" w:type="dxa"/>
            <w:gridSpan w:val="3"/>
          </w:tcPr>
          <w:p w14:paraId="3F5765A1" w14:textId="77777777" w:rsidR="005B7C8F" w:rsidRDefault="000D1B56">
            <w:pPr>
              <w:pStyle w:val="TableParagraph"/>
              <w:rPr>
                <w:sz w:val="18"/>
              </w:rPr>
            </w:pPr>
            <w:r>
              <w:rPr>
                <w:sz w:val="18"/>
              </w:rPr>
              <w:t>Comments:</w:t>
            </w:r>
          </w:p>
        </w:tc>
      </w:tr>
      <w:tr w:rsidR="005B7C8F" w14:paraId="3F5765A6" w14:textId="77777777">
        <w:trPr>
          <w:trHeight w:val="861"/>
        </w:trPr>
        <w:tc>
          <w:tcPr>
            <w:tcW w:w="3284" w:type="dxa"/>
          </w:tcPr>
          <w:p w14:paraId="3F5765A3" w14:textId="77777777" w:rsidR="005B7C8F" w:rsidRDefault="000D1B56">
            <w:pPr>
              <w:pStyle w:val="TableParagraph"/>
              <w:rPr>
                <w:sz w:val="18"/>
              </w:rPr>
            </w:pPr>
            <w:r>
              <w:rPr>
                <w:sz w:val="18"/>
              </w:rPr>
              <w:t>Consultation responses reviewed by:</w:t>
            </w:r>
          </w:p>
        </w:tc>
        <w:tc>
          <w:tcPr>
            <w:tcW w:w="2725" w:type="dxa"/>
          </w:tcPr>
          <w:p w14:paraId="3F5765A4" w14:textId="77777777" w:rsidR="005B7C8F" w:rsidRDefault="005B7C8F">
            <w:pPr>
              <w:pStyle w:val="TableParagraph"/>
              <w:spacing w:before="0"/>
              <w:ind w:left="0"/>
              <w:rPr>
                <w:rFonts w:ascii="Times New Roman"/>
                <w:sz w:val="18"/>
              </w:rPr>
            </w:pPr>
          </w:p>
        </w:tc>
        <w:tc>
          <w:tcPr>
            <w:tcW w:w="3011" w:type="dxa"/>
          </w:tcPr>
          <w:p w14:paraId="3F5765A5" w14:textId="77777777" w:rsidR="005B7C8F" w:rsidRDefault="000D1B56">
            <w:pPr>
              <w:pStyle w:val="TableParagraph"/>
              <w:ind w:left="106" w:right="604"/>
              <w:rPr>
                <w:sz w:val="18"/>
              </w:rPr>
            </w:pPr>
            <w:r>
              <w:rPr>
                <w:sz w:val="18"/>
              </w:rPr>
              <w:t>If your decision departs from individuals’ views, you must explain your reasons</w:t>
            </w:r>
          </w:p>
        </w:tc>
      </w:tr>
      <w:tr w:rsidR="005B7C8F" w14:paraId="3F5765A8" w14:textId="77777777">
        <w:trPr>
          <w:trHeight w:val="446"/>
        </w:trPr>
        <w:tc>
          <w:tcPr>
            <w:tcW w:w="9020" w:type="dxa"/>
            <w:gridSpan w:val="3"/>
          </w:tcPr>
          <w:p w14:paraId="3F5765A7" w14:textId="77777777" w:rsidR="005B7C8F" w:rsidRDefault="000D1B56">
            <w:pPr>
              <w:pStyle w:val="TableParagraph"/>
              <w:rPr>
                <w:sz w:val="18"/>
              </w:rPr>
            </w:pPr>
            <w:r>
              <w:rPr>
                <w:sz w:val="18"/>
              </w:rPr>
              <w:t>Comments:</w:t>
            </w:r>
          </w:p>
        </w:tc>
      </w:tr>
      <w:tr w:rsidR="005B7C8F" w14:paraId="3F5765AC" w14:textId="77777777">
        <w:trPr>
          <w:trHeight w:val="654"/>
        </w:trPr>
        <w:tc>
          <w:tcPr>
            <w:tcW w:w="3284" w:type="dxa"/>
          </w:tcPr>
          <w:p w14:paraId="3F5765A9" w14:textId="77777777" w:rsidR="005B7C8F" w:rsidRDefault="000D1B56">
            <w:pPr>
              <w:pStyle w:val="TableParagraph"/>
              <w:spacing w:before="121"/>
              <w:ind w:right="315"/>
              <w:rPr>
                <w:sz w:val="18"/>
              </w:rPr>
            </w:pPr>
            <w:r>
              <w:rPr>
                <w:sz w:val="18"/>
              </w:rPr>
              <w:t>This DPIA will be kept under review by:</w:t>
            </w:r>
          </w:p>
        </w:tc>
        <w:tc>
          <w:tcPr>
            <w:tcW w:w="2725" w:type="dxa"/>
          </w:tcPr>
          <w:p w14:paraId="3F5765AA" w14:textId="77777777" w:rsidR="005B7C8F" w:rsidRDefault="005B7C8F">
            <w:pPr>
              <w:pStyle w:val="TableParagraph"/>
              <w:spacing w:before="0"/>
              <w:ind w:left="0"/>
              <w:rPr>
                <w:rFonts w:ascii="Times New Roman"/>
                <w:sz w:val="18"/>
              </w:rPr>
            </w:pPr>
          </w:p>
        </w:tc>
        <w:tc>
          <w:tcPr>
            <w:tcW w:w="3011" w:type="dxa"/>
          </w:tcPr>
          <w:p w14:paraId="3F5765AB" w14:textId="77777777" w:rsidR="005B7C8F" w:rsidRDefault="000D1B56">
            <w:pPr>
              <w:pStyle w:val="TableParagraph"/>
              <w:spacing w:before="121"/>
              <w:ind w:left="106" w:right="433"/>
              <w:rPr>
                <w:sz w:val="18"/>
              </w:rPr>
            </w:pPr>
            <w:r>
              <w:rPr>
                <w:sz w:val="18"/>
              </w:rPr>
              <w:t>The DPO should also review ongoing compliance with DPIA</w:t>
            </w:r>
          </w:p>
        </w:tc>
      </w:tr>
    </w:tbl>
    <w:p w14:paraId="3F5765AD" w14:textId="77777777" w:rsidR="005B7C8F" w:rsidRDefault="005B7C8F">
      <w:pPr>
        <w:rPr>
          <w:b/>
          <w:sz w:val="20"/>
        </w:rPr>
      </w:pPr>
    </w:p>
    <w:p w14:paraId="3F5765AE" w14:textId="77777777" w:rsidR="005B7C8F" w:rsidRDefault="005B7C8F">
      <w:pPr>
        <w:rPr>
          <w:b/>
          <w:sz w:val="20"/>
        </w:rPr>
      </w:pPr>
    </w:p>
    <w:p w14:paraId="3F5765AF" w14:textId="77777777" w:rsidR="005B7C8F" w:rsidRDefault="005B7C8F">
      <w:pPr>
        <w:spacing w:before="9"/>
        <w:rPr>
          <w:b/>
          <w:sz w:val="19"/>
        </w:rPr>
      </w:pPr>
    </w:p>
    <w:p w14:paraId="3F5765B0" w14:textId="77777777" w:rsidR="005B7C8F" w:rsidRDefault="000D1B56">
      <w:pPr>
        <w:pStyle w:val="BodyText"/>
        <w:spacing w:before="94"/>
        <w:ind w:left="114" w:right="141" w:firstLine="8"/>
        <w:jc w:val="center"/>
      </w:pPr>
      <w:r>
        <w:rPr>
          <w:color w:val="FF0000"/>
        </w:rPr>
        <w:t xml:space="preserve">For the avoidance of any doubt, the information given in this document is for guidance and information </w:t>
      </w:r>
      <w:r>
        <w:rPr>
          <w:color w:val="FF0000"/>
        </w:rPr>
        <w:t>only and does not constitute legal or professional advice. Always consult a suitably qualifie</w:t>
      </w:r>
      <w:r>
        <w:rPr>
          <w:color w:val="FF0000"/>
        </w:rPr>
        <w:t>d information governance specialist and/or your own data protection officer in relation to the drafting of any Data Protection Impact Assessment (and/or in order to meet any of your other accountability obligations) in order to come to your own conclusions</w:t>
      </w:r>
      <w:r>
        <w:rPr>
          <w:color w:val="FF0000"/>
        </w:rPr>
        <w:t>. EMIS Health assumes no responsibility for the information contained in this document and disclaims all liability in respect of such information.</w:t>
      </w:r>
    </w:p>
    <w:sectPr w:rsidR="005B7C8F">
      <w:pgSz w:w="11910" w:h="16840"/>
      <w:pgMar w:top="1420" w:right="1320" w:bottom="920" w:left="1340" w:header="751"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6B98" w14:textId="77777777" w:rsidR="000D1B56" w:rsidRDefault="000D1B56">
      <w:r>
        <w:separator/>
      </w:r>
    </w:p>
  </w:endnote>
  <w:endnote w:type="continuationSeparator" w:id="0">
    <w:p w14:paraId="309DB66D" w14:textId="77777777" w:rsidR="000D1B56" w:rsidRDefault="000D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65B2" w14:textId="20AA17B4" w:rsidR="005B7C8F" w:rsidRDefault="000D1606">
    <w:pPr>
      <w:pStyle w:val="BodyText"/>
      <w:spacing w:before="0" w:line="14" w:lineRule="auto"/>
      <w:rPr>
        <w:b w:val="0"/>
        <w:i w:val="0"/>
        <w:sz w:val="20"/>
      </w:rPr>
    </w:pPr>
    <w:r>
      <w:rPr>
        <w:noProof/>
      </w:rPr>
      <mc:AlternateContent>
        <mc:Choice Requires="wps">
          <w:drawing>
            <wp:anchor distT="0" distB="0" distL="114300" distR="114300" simplePos="0" relativeHeight="503307464" behindDoc="1" locked="0" layoutInCell="1" allowOverlap="1" wp14:anchorId="3F5765B4" wp14:editId="1D715A83">
              <wp:simplePos x="0" y="0"/>
              <wp:positionH relativeFrom="page">
                <wp:posOffset>3719830</wp:posOffset>
              </wp:positionH>
              <wp:positionV relativeFrom="page">
                <wp:posOffset>10088245</wp:posOffset>
              </wp:positionV>
              <wp:extent cx="121920"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65B6" w14:textId="77777777" w:rsidR="005B7C8F" w:rsidRDefault="000D1B56">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765B4" id="_x0000_t202" coordsize="21600,21600" o:spt="202" path="m,l,21600r21600,l21600,xe">
              <v:stroke joinstyle="miter"/>
              <v:path gradientshapeok="t" o:connecttype="rect"/>
            </v:shapetype>
            <v:shape id="Text Box 1" o:spid="_x0000_s1026" type="#_x0000_t202" style="position:absolute;margin-left:292.9pt;margin-top:794.35pt;width:9.6pt;height:13.05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" filled="f" stroked="f">
              <v:textbox inset="0,0,0,0">
                <w:txbxContent>
                  <w:p w14:paraId="3F5765B6" w14:textId="77777777" w:rsidR="005B7C8F" w:rsidRDefault="000D1B56">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7EBAA" w14:textId="77777777" w:rsidR="000D1B56" w:rsidRDefault="000D1B56">
      <w:r>
        <w:separator/>
      </w:r>
    </w:p>
  </w:footnote>
  <w:footnote w:type="continuationSeparator" w:id="0">
    <w:p w14:paraId="61CCE39E" w14:textId="77777777" w:rsidR="000D1B56" w:rsidRDefault="000D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65B1" w14:textId="7E834855" w:rsidR="005B7C8F" w:rsidRDefault="005B7C8F">
    <w:pPr>
      <w:pStyle w:val="BodyText"/>
      <w:spacing w:before="0" w:line="14" w:lineRule="auto"/>
      <w:rPr>
        <w:b w:val="0"/>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2A57"/>
    <w:multiLevelType w:val="hybridMultilevel"/>
    <w:tmpl w:val="F81E3BCE"/>
    <w:lvl w:ilvl="0" w:tplc="BEC4E7E0">
      <w:numFmt w:val="bullet"/>
      <w:lvlText w:val=""/>
      <w:lvlJc w:val="left"/>
      <w:pPr>
        <w:ind w:left="820" w:hanging="356"/>
      </w:pPr>
      <w:rPr>
        <w:rFonts w:ascii="Symbol" w:eastAsia="Symbol" w:hAnsi="Symbol" w:cs="Symbol" w:hint="default"/>
        <w:w w:val="100"/>
        <w:sz w:val="18"/>
        <w:szCs w:val="18"/>
        <w:lang w:val="en-GB" w:eastAsia="en-GB" w:bidi="en-GB"/>
      </w:rPr>
    </w:lvl>
    <w:lvl w:ilvl="1" w:tplc="0A5CDD6A">
      <w:numFmt w:val="bullet"/>
      <w:lvlText w:val="•"/>
      <w:lvlJc w:val="left"/>
      <w:pPr>
        <w:ind w:left="1638" w:hanging="356"/>
      </w:pPr>
      <w:rPr>
        <w:rFonts w:hint="default"/>
        <w:lang w:val="en-GB" w:eastAsia="en-GB" w:bidi="en-GB"/>
      </w:rPr>
    </w:lvl>
    <w:lvl w:ilvl="2" w:tplc="C4EAD33C">
      <w:numFmt w:val="bullet"/>
      <w:lvlText w:val="•"/>
      <w:lvlJc w:val="left"/>
      <w:pPr>
        <w:ind w:left="2457" w:hanging="356"/>
      </w:pPr>
      <w:rPr>
        <w:rFonts w:hint="default"/>
        <w:lang w:val="en-GB" w:eastAsia="en-GB" w:bidi="en-GB"/>
      </w:rPr>
    </w:lvl>
    <w:lvl w:ilvl="3" w:tplc="44AE4A7E">
      <w:numFmt w:val="bullet"/>
      <w:lvlText w:val="•"/>
      <w:lvlJc w:val="left"/>
      <w:pPr>
        <w:ind w:left="3276" w:hanging="356"/>
      </w:pPr>
      <w:rPr>
        <w:rFonts w:hint="default"/>
        <w:lang w:val="en-GB" w:eastAsia="en-GB" w:bidi="en-GB"/>
      </w:rPr>
    </w:lvl>
    <w:lvl w:ilvl="4" w:tplc="2228A966">
      <w:numFmt w:val="bullet"/>
      <w:lvlText w:val="•"/>
      <w:lvlJc w:val="left"/>
      <w:pPr>
        <w:ind w:left="4095" w:hanging="356"/>
      </w:pPr>
      <w:rPr>
        <w:rFonts w:hint="default"/>
        <w:lang w:val="en-GB" w:eastAsia="en-GB" w:bidi="en-GB"/>
      </w:rPr>
    </w:lvl>
    <w:lvl w:ilvl="5" w:tplc="3CAC0AB0">
      <w:numFmt w:val="bullet"/>
      <w:lvlText w:val="•"/>
      <w:lvlJc w:val="left"/>
      <w:pPr>
        <w:ind w:left="4914" w:hanging="356"/>
      </w:pPr>
      <w:rPr>
        <w:rFonts w:hint="default"/>
        <w:lang w:val="en-GB" w:eastAsia="en-GB" w:bidi="en-GB"/>
      </w:rPr>
    </w:lvl>
    <w:lvl w:ilvl="6" w:tplc="6F92B456">
      <w:numFmt w:val="bullet"/>
      <w:lvlText w:val="•"/>
      <w:lvlJc w:val="left"/>
      <w:pPr>
        <w:ind w:left="5732" w:hanging="356"/>
      </w:pPr>
      <w:rPr>
        <w:rFonts w:hint="default"/>
        <w:lang w:val="en-GB" w:eastAsia="en-GB" w:bidi="en-GB"/>
      </w:rPr>
    </w:lvl>
    <w:lvl w:ilvl="7" w:tplc="EC1ED80E">
      <w:numFmt w:val="bullet"/>
      <w:lvlText w:val="•"/>
      <w:lvlJc w:val="left"/>
      <w:pPr>
        <w:ind w:left="6551" w:hanging="356"/>
      </w:pPr>
      <w:rPr>
        <w:rFonts w:hint="default"/>
        <w:lang w:val="en-GB" w:eastAsia="en-GB" w:bidi="en-GB"/>
      </w:rPr>
    </w:lvl>
    <w:lvl w:ilvl="8" w:tplc="165AFBD2">
      <w:numFmt w:val="bullet"/>
      <w:lvlText w:val="•"/>
      <w:lvlJc w:val="left"/>
      <w:pPr>
        <w:ind w:left="7370" w:hanging="356"/>
      </w:pPr>
      <w:rPr>
        <w:rFonts w:hint="default"/>
        <w:lang w:val="en-GB" w:eastAsia="en-GB" w:bidi="en-GB"/>
      </w:rPr>
    </w:lvl>
  </w:abstractNum>
  <w:abstractNum w:abstractNumId="1" w15:restartNumberingAfterBreak="0">
    <w:nsid w:val="2E8E35A9"/>
    <w:multiLevelType w:val="hybridMultilevel"/>
    <w:tmpl w:val="B41636BA"/>
    <w:lvl w:ilvl="0" w:tplc="FC2A6C0E">
      <w:numFmt w:val="bullet"/>
      <w:lvlText w:val=""/>
      <w:lvlJc w:val="left"/>
      <w:pPr>
        <w:ind w:left="820" w:hanging="356"/>
      </w:pPr>
      <w:rPr>
        <w:rFonts w:ascii="Symbol" w:eastAsia="Symbol" w:hAnsi="Symbol" w:cs="Symbol" w:hint="default"/>
        <w:w w:val="100"/>
        <w:sz w:val="18"/>
        <w:szCs w:val="18"/>
        <w:lang w:val="en-GB" w:eastAsia="en-GB" w:bidi="en-GB"/>
      </w:rPr>
    </w:lvl>
    <w:lvl w:ilvl="1" w:tplc="CC2A05DC">
      <w:numFmt w:val="bullet"/>
      <w:lvlText w:val="•"/>
      <w:lvlJc w:val="left"/>
      <w:pPr>
        <w:ind w:left="1638" w:hanging="356"/>
      </w:pPr>
      <w:rPr>
        <w:rFonts w:hint="default"/>
        <w:lang w:val="en-GB" w:eastAsia="en-GB" w:bidi="en-GB"/>
      </w:rPr>
    </w:lvl>
    <w:lvl w:ilvl="2" w:tplc="31946596">
      <w:numFmt w:val="bullet"/>
      <w:lvlText w:val="•"/>
      <w:lvlJc w:val="left"/>
      <w:pPr>
        <w:ind w:left="2457" w:hanging="356"/>
      </w:pPr>
      <w:rPr>
        <w:rFonts w:hint="default"/>
        <w:lang w:val="en-GB" w:eastAsia="en-GB" w:bidi="en-GB"/>
      </w:rPr>
    </w:lvl>
    <w:lvl w:ilvl="3" w:tplc="9BFCA85E">
      <w:numFmt w:val="bullet"/>
      <w:lvlText w:val="•"/>
      <w:lvlJc w:val="left"/>
      <w:pPr>
        <w:ind w:left="3276" w:hanging="356"/>
      </w:pPr>
      <w:rPr>
        <w:rFonts w:hint="default"/>
        <w:lang w:val="en-GB" w:eastAsia="en-GB" w:bidi="en-GB"/>
      </w:rPr>
    </w:lvl>
    <w:lvl w:ilvl="4" w:tplc="A0A089C4">
      <w:numFmt w:val="bullet"/>
      <w:lvlText w:val="•"/>
      <w:lvlJc w:val="left"/>
      <w:pPr>
        <w:ind w:left="4095" w:hanging="356"/>
      </w:pPr>
      <w:rPr>
        <w:rFonts w:hint="default"/>
        <w:lang w:val="en-GB" w:eastAsia="en-GB" w:bidi="en-GB"/>
      </w:rPr>
    </w:lvl>
    <w:lvl w:ilvl="5" w:tplc="C2E2CBF0">
      <w:numFmt w:val="bullet"/>
      <w:lvlText w:val="•"/>
      <w:lvlJc w:val="left"/>
      <w:pPr>
        <w:ind w:left="4914" w:hanging="356"/>
      </w:pPr>
      <w:rPr>
        <w:rFonts w:hint="default"/>
        <w:lang w:val="en-GB" w:eastAsia="en-GB" w:bidi="en-GB"/>
      </w:rPr>
    </w:lvl>
    <w:lvl w:ilvl="6" w:tplc="467C874E">
      <w:numFmt w:val="bullet"/>
      <w:lvlText w:val="•"/>
      <w:lvlJc w:val="left"/>
      <w:pPr>
        <w:ind w:left="5732" w:hanging="356"/>
      </w:pPr>
      <w:rPr>
        <w:rFonts w:hint="default"/>
        <w:lang w:val="en-GB" w:eastAsia="en-GB" w:bidi="en-GB"/>
      </w:rPr>
    </w:lvl>
    <w:lvl w:ilvl="7" w:tplc="46E0756E">
      <w:numFmt w:val="bullet"/>
      <w:lvlText w:val="•"/>
      <w:lvlJc w:val="left"/>
      <w:pPr>
        <w:ind w:left="6551" w:hanging="356"/>
      </w:pPr>
      <w:rPr>
        <w:rFonts w:hint="default"/>
        <w:lang w:val="en-GB" w:eastAsia="en-GB" w:bidi="en-GB"/>
      </w:rPr>
    </w:lvl>
    <w:lvl w:ilvl="8" w:tplc="97E49014">
      <w:numFmt w:val="bullet"/>
      <w:lvlText w:val="•"/>
      <w:lvlJc w:val="left"/>
      <w:pPr>
        <w:ind w:left="7370" w:hanging="356"/>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8F"/>
    <w:rsid w:val="000D1606"/>
    <w:rsid w:val="000D1B56"/>
    <w:rsid w:val="00281367"/>
    <w:rsid w:val="002C1EE1"/>
    <w:rsid w:val="004105C0"/>
    <w:rsid w:val="005B7C8F"/>
    <w:rsid w:val="005F0D17"/>
    <w:rsid w:val="007B1DB1"/>
    <w:rsid w:val="00936552"/>
    <w:rsid w:val="00A9388A"/>
    <w:rsid w:val="00F71D97"/>
    <w:rsid w:val="00FE1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76520"/>
  <w15:docId w15:val="{C76DF919-8B32-4A1C-9219-7C677B3D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24"/>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b/>
      <w:bCs/>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ind w:left="107"/>
    </w:pPr>
  </w:style>
  <w:style w:type="paragraph" w:styleId="Header">
    <w:name w:val="header"/>
    <w:basedOn w:val="Normal"/>
    <w:link w:val="HeaderChar"/>
    <w:uiPriority w:val="99"/>
    <w:unhideWhenUsed/>
    <w:rsid w:val="00A9388A"/>
    <w:pPr>
      <w:tabs>
        <w:tab w:val="center" w:pos="4513"/>
        <w:tab w:val="right" w:pos="9026"/>
      </w:tabs>
    </w:pPr>
  </w:style>
  <w:style w:type="character" w:customStyle="1" w:styleId="HeaderChar">
    <w:name w:val="Header Char"/>
    <w:basedOn w:val="DefaultParagraphFont"/>
    <w:link w:val="Header"/>
    <w:uiPriority w:val="99"/>
    <w:rsid w:val="00A9388A"/>
    <w:rPr>
      <w:rFonts w:ascii="Arial" w:eastAsia="Arial" w:hAnsi="Arial" w:cs="Arial"/>
      <w:lang w:val="en-GB" w:eastAsia="en-GB" w:bidi="en-GB"/>
    </w:rPr>
  </w:style>
  <w:style w:type="paragraph" w:styleId="Footer">
    <w:name w:val="footer"/>
    <w:basedOn w:val="Normal"/>
    <w:link w:val="FooterChar"/>
    <w:uiPriority w:val="99"/>
    <w:unhideWhenUsed/>
    <w:rsid w:val="00A9388A"/>
    <w:pPr>
      <w:tabs>
        <w:tab w:val="center" w:pos="4513"/>
        <w:tab w:val="right" w:pos="9026"/>
      </w:tabs>
    </w:pPr>
  </w:style>
  <w:style w:type="character" w:customStyle="1" w:styleId="FooterChar">
    <w:name w:val="Footer Char"/>
    <w:basedOn w:val="DefaultParagraphFont"/>
    <w:link w:val="Footer"/>
    <w:uiPriority w:val="99"/>
    <w:rsid w:val="00A9388A"/>
    <w:rPr>
      <w:rFonts w:ascii="Arial" w:eastAsia="Arial" w:hAnsi="Arial" w:cs="Arial"/>
      <w:lang w:val="en-GB" w:eastAsia="en-GB" w:bidi="en-GB"/>
    </w:rPr>
  </w:style>
  <w:style w:type="character" w:styleId="Hyperlink">
    <w:name w:val="Hyperlink"/>
    <w:basedOn w:val="DefaultParagraphFont"/>
    <w:uiPriority w:val="99"/>
    <w:unhideWhenUsed/>
    <w:rsid w:val="00F71D97"/>
    <w:rPr>
      <w:color w:val="0000FF" w:themeColor="hyperlink"/>
      <w:u w:val="single"/>
    </w:rPr>
  </w:style>
  <w:style w:type="table" w:styleId="TableGrid">
    <w:name w:val="Table Grid"/>
    <w:basedOn w:val="TableNormal"/>
    <w:uiPriority w:val="39"/>
    <w:rsid w:val="007B1DB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uidance/use-cloud-fir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isnug.org.uk/blog/next-generation-emis-x-announced" TargetMode="External"/><Relationship Id="rId12" Type="http://schemas.openxmlformats.org/officeDocument/2006/relationships/hyperlink" Target="https://aws.amazon.com/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gov.uk/collection/cloud-security"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McKie</dc:creator>
  <cp:lastModifiedBy>Emma Cooper</cp:lastModifiedBy>
  <cp:revision>3</cp:revision>
  <dcterms:created xsi:type="dcterms:W3CDTF">2019-06-12T10:03:00Z</dcterms:created>
  <dcterms:modified xsi:type="dcterms:W3CDTF">2019-06-12T10:12:00Z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2016</vt:lpwstr>
  </property>
  <property fmtid="{D5CDD505-2E9C-101B-9397-08002B2CF9AE}" pid="4" name="LastSaved">
    <vt:filetime>2019-06-12T00:00:00Z</vt:filetime>
  </property>
</Properties>
</file>