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E5A" w:rsidP="0089307D" w:rsidRDefault="00375356" w14:paraId="70D4117E" w14:textId="23A6F621">
      <w:pPr>
        <w:pStyle w:val="NoSpacing"/>
      </w:pPr>
      <w:r>
        <w:t>Freedom of Information</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E839B5"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375356" w14:paraId="44EA39E9" w14:textId="3D46B3AE">
            <w:pPr>
              <w:rPr>
                <w:b w:val="0"/>
              </w:rPr>
            </w:pPr>
            <w:r>
              <w:rPr>
                <w:b w:val="0"/>
              </w:rPr>
              <w:t>Freedom of Information</w:t>
            </w:r>
            <w:r w:rsidR="00A97311">
              <w:rPr>
                <w:b w:val="0"/>
              </w:rPr>
              <w:t xml:space="preserve"> Protocol</w:t>
            </w:r>
          </w:p>
        </w:tc>
        <w:tc>
          <w:tcPr>
            <w:tcW w:w="3005" w:type="dxa"/>
          </w:tcPr>
          <w:p w:rsidR="00B94E5A" w:rsidP="00B94E5A" w:rsidRDefault="0096514F" w14:paraId="68BC7C2E" w14:textId="4B6660CB">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rsidR="00B94E5A" w:rsidP="00B94E5A" w:rsidRDefault="0096514F" w14:paraId="21F4D711" w14:textId="18A8B3B8">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90"/>
        <w:gridCol w:w="2325"/>
        <w:gridCol w:w="5701"/>
      </w:tblGrid>
      <w:tr w:rsidR="00B94E5A" w:rsidTr="5591798E"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32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701"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5591798E"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Pr="00CB1C00" w:rsidR="00B94E5A" w:rsidP="00B94E5A" w:rsidRDefault="00B94E5A" w14:paraId="5CCFCFC8" w14:textId="77777777">
            <w:pPr>
              <w:rPr>
                <w:b w:val="0"/>
                <w:bCs w:val="0"/>
                <w:sz w:val="18"/>
                <w:szCs w:val="18"/>
              </w:rPr>
            </w:pPr>
            <w:r w:rsidRPr="5591798E" w:rsidR="5591798E">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325" w:type="dxa"/>
            <w:tcMar/>
          </w:tcPr>
          <w:p w:rsidRPr="00CB1C00" w:rsidR="00B94E5A" w:rsidP="00B94E5A" w:rsidRDefault="00B94E5A" w14:paraId="2B6311A3" w14:textId="304386B1">
            <w:pPr>
              <w:cnfStyle w:val="000000100000" w:firstRow="0" w:lastRow="0" w:firstColumn="0" w:lastColumn="0" w:oddVBand="0" w:evenVBand="0" w:oddHBand="1" w:evenHBand="0" w:firstRowFirstColumn="0" w:firstRowLastColumn="0" w:lastRowFirstColumn="0" w:lastRowLastColumn="0"/>
              <w:rPr>
                <w:sz w:val="18"/>
                <w:szCs w:val="18"/>
              </w:rPr>
            </w:pPr>
            <w:r w:rsidRPr="5591798E" w:rsidR="5591798E">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701" w:type="dxa"/>
            <w:tcMar/>
          </w:tcPr>
          <w:p w:rsidRPr="00CB1C00" w:rsidR="00B94E5A" w:rsidP="00B94E5A" w:rsidRDefault="00B94E5A" w14:paraId="12A855D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5591798E" w:rsidR="5591798E">
              <w:rPr>
                <w:sz w:val="18"/>
                <w:szCs w:val="18"/>
              </w:rPr>
              <w:t>New Draft</w:t>
            </w:r>
          </w:p>
        </w:tc>
      </w:tr>
      <w:tr w:rsidR="00CB1C00" w:rsidTr="5591798E" w14:paraId="4F125AAB" w14:textId="77777777">
        <w:tc>
          <w:tcPr>
            <w:cnfStyle w:val="001000000000" w:firstRow="0" w:lastRow="0" w:firstColumn="1" w:lastColumn="0" w:oddVBand="0" w:evenVBand="0" w:oddHBand="0" w:evenHBand="0" w:firstRowFirstColumn="0" w:firstRowLastColumn="0" w:lastRowFirstColumn="0" w:lastRowLastColumn="0"/>
            <w:tcW w:w="990" w:type="dxa"/>
            <w:tcMar/>
          </w:tcPr>
          <w:p w:rsidRPr="00CB1C00" w:rsidR="00CB1C00" w:rsidP="00CB1C00" w:rsidRDefault="00CB1C00" w14:paraId="1D5F4FEE" w14:textId="2DBB8E85">
            <w:pPr>
              <w:rPr>
                <w:b w:val="0"/>
                <w:bCs w:val="0"/>
                <w:sz w:val="18"/>
                <w:szCs w:val="18"/>
              </w:rPr>
            </w:pPr>
            <w:r w:rsidRPr="5591798E" w:rsidR="5591798E">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325" w:type="dxa"/>
            <w:tcMar/>
          </w:tcPr>
          <w:p w:rsidRPr="00CB1C00" w:rsidR="00CB1C00" w:rsidP="00CB1C00" w:rsidRDefault="00CB1C00" w14:paraId="6C8A2E28" w14:textId="138F81AD">
            <w:pPr>
              <w:cnfStyle w:val="000000000000" w:firstRow="0" w:lastRow="0" w:firstColumn="0" w:lastColumn="0" w:oddVBand="0" w:evenVBand="0" w:oddHBand="0" w:evenHBand="0" w:firstRowFirstColumn="0" w:firstRowLastColumn="0" w:lastRowFirstColumn="0" w:lastRowLastColumn="0"/>
              <w:rPr>
                <w:sz w:val="18"/>
                <w:szCs w:val="18"/>
              </w:rPr>
            </w:pPr>
            <w:r w:rsidRPr="5591798E" w:rsidR="5591798E">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5701" w:type="dxa"/>
            <w:tcMar/>
          </w:tcPr>
          <w:p w:rsidRPr="00CB1C00" w:rsidR="00CB1C00" w:rsidP="00CB1C00" w:rsidRDefault="00CB1C00" w14:paraId="0C19A66D" w14:textId="21A7E58A">
            <w:pPr>
              <w:cnfStyle w:val="000000000000" w:firstRow="0" w:lastRow="0" w:firstColumn="0" w:lastColumn="0" w:oddVBand="0" w:evenVBand="0" w:oddHBand="0" w:evenHBand="0" w:firstRowFirstColumn="0" w:firstRowLastColumn="0" w:lastRowFirstColumn="0" w:lastRowLastColumn="0"/>
              <w:rPr>
                <w:sz w:val="18"/>
                <w:szCs w:val="18"/>
              </w:rPr>
            </w:pPr>
            <w:r w:rsidRPr="5591798E" w:rsidR="5591798E">
              <w:rPr>
                <w:sz w:val="18"/>
                <w:szCs w:val="18"/>
              </w:rPr>
              <w:t>Jan 2019 Replaced 1998 DPA with 2018 Act. Replaced GDPR with “data protection legislation”.</w:t>
            </w:r>
          </w:p>
        </w:tc>
      </w:tr>
      <w:tr w:rsidR="6715CA0A" w:rsidTr="5591798E" w14:paraId="68C1986A">
        <w:tc>
          <w:tcPr>
            <w:cnfStyle w:val="001000000000" w:firstRow="0" w:lastRow="0" w:firstColumn="1" w:lastColumn="0" w:oddVBand="0" w:evenVBand="0" w:oddHBand="0" w:evenHBand="0" w:firstRowFirstColumn="0" w:firstRowLastColumn="0" w:lastRowFirstColumn="0" w:lastRowLastColumn="0"/>
            <w:tcW w:w="990" w:type="dxa"/>
            <w:tcMar/>
          </w:tcPr>
          <w:p w:rsidR="6715CA0A" w:rsidP="6715CA0A" w:rsidRDefault="6715CA0A" w14:paraId="2317522C" w14:textId="7A0DC40D">
            <w:pPr>
              <w:pStyle w:val="Normal"/>
              <w:rPr>
                <w:b w:val="0"/>
                <w:bCs w:val="0"/>
                <w:sz w:val="18"/>
                <w:szCs w:val="18"/>
              </w:rPr>
            </w:pPr>
            <w:r w:rsidRPr="5591798E" w:rsidR="5591798E">
              <w:rPr>
                <w:b w:val="0"/>
                <w:bCs w:val="0"/>
                <w:sz w:val="18"/>
                <w:szCs w:val="18"/>
              </w:rPr>
              <w:t>1.1</w:t>
            </w:r>
          </w:p>
        </w:tc>
        <w:tc>
          <w:tcPr>
            <w:cnfStyle w:val="000000000000" w:firstRow="0" w:lastRow="0" w:firstColumn="0" w:lastColumn="0" w:oddVBand="0" w:evenVBand="0" w:oddHBand="0" w:evenHBand="0" w:firstRowFirstColumn="0" w:firstRowLastColumn="0" w:lastRowFirstColumn="0" w:lastRowLastColumn="0"/>
            <w:tcW w:w="2325" w:type="dxa"/>
            <w:tcMar/>
          </w:tcPr>
          <w:p w:rsidR="6715CA0A" w:rsidP="6715CA0A" w:rsidRDefault="6715CA0A" w14:paraId="1F88B771" w14:textId="322425D5">
            <w:pPr>
              <w:pStyle w:val="Normal"/>
              <w:rPr>
                <w:sz w:val="18"/>
                <w:szCs w:val="18"/>
              </w:rPr>
            </w:pPr>
            <w:r w:rsidRPr="5591798E" w:rsidR="5591798E">
              <w:rPr>
                <w:sz w:val="18"/>
                <w:szCs w:val="18"/>
              </w:rPr>
              <w:t>Emma Cooper, Kafico Ltd, DPO</w:t>
            </w:r>
          </w:p>
        </w:tc>
        <w:tc>
          <w:tcPr>
            <w:cnfStyle w:val="000000000000" w:firstRow="0" w:lastRow="0" w:firstColumn="0" w:lastColumn="0" w:oddVBand="0" w:evenVBand="0" w:oddHBand="0" w:evenHBand="0" w:firstRowFirstColumn="0" w:firstRowLastColumn="0" w:lastRowFirstColumn="0" w:lastRowLastColumn="0"/>
            <w:tcW w:w="5701" w:type="dxa"/>
            <w:tcMar/>
          </w:tcPr>
          <w:p w:rsidR="6715CA0A" w:rsidP="5591798E" w:rsidRDefault="6715CA0A" w14:paraId="3D43F146" w14:textId="6A72EC74">
            <w:pPr>
              <w:spacing w:line="360" w:lineRule="auto"/>
              <w:rPr>
                <w:rFonts w:ascii="Arial Nova Light" w:hAnsi="Arial Nova Light" w:eastAsia="Arial Nova Light" w:cs="Arial Nova Light"/>
                <w:b w:val="0"/>
                <w:bCs w:val="0"/>
                <w:i w:val="0"/>
                <w:iCs w:val="0"/>
                <w:noProof w:val="0"/>
                <w:sz w:val="18"/>
                <w:szCs w:val="18"/>
                <w:lang w:val="en-GB"/>
              </w:rPr>
            </w:pPr>
            <w:r w:rsidRPr="5591798E" w:rsidR="5591798E">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96514F" w:rsidRDefault="00F03257" w14:paraId="742E998D" w14:textId="073A740B">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4157">
            <w:r w:rsidRPr="00FE1867" w:rsidR="0096514F">
              <w:rPr>
                <w:rStyle w:val="Hyperlink"/>
                <w:noProof/>
              </w:rPr>
              <w:t>2.</w:t>
            </w:r>
            <w:r w:rsidR="0096514F">
              <w:rPr>
                <w:rFonts w:asciiTheme="minorHAnsi" w:hAnsiTheme="minorHAnsi" w:eastAsiaTheme="minorEastAsia"/>
                <w:noProof/>
                <w:lang w:eastAsia="en-GB"/>
              </w:rPr>
              <w:tab/>
            </w:r>
            <w:r w:rsidRPr="00FE1867" w:rsidR="0096514F">
              <w:rPr>
                <w:rStyle w:val="Hyperlink"/>
                <w:noProof/>
              </w:rPr>
              <w:t>Scope</w:t>
            </w:r>
            <w:r w:rsidR="0096514F">
              <w:rPr>
                <w:noProof/>
                <w:webHidden/>
              </w:rPr>
              <w:tab/>
            </w:r>
            <w:r w:rsidR="0096514F">
              <w:rPr>
                <w:noProof/>
                <w:webHidden/>
              </w:rPr>
              <w:fldChar w:fldCharType="begin"/>
            </w:r>
            <w:r w:rsidR="0096514F">
              <w:rPr>
                <w:noProof/>
                <w:webHidden/>
              </w:rPr>
              <w:instrText xml:space="preserve"> PAGEREF _Toc6744157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rsidR="0096514F" w:rsidRDefault="007661B3" w14:paraId="3AC59D8D" w14:textId="62259FA2">
          <w:pPr>
            <w:pStyle w:val="TOC1"/>
            <w:tabs>
              <w:tab w:val="left" w:pos="440"/>
              <w:tab w:val="right" w:leader="dot" w:pos="9016"/>
            </w:tabs>
            <w:rPr>
              <w:rFonts w:asciiTheme="minorHAnsi" w:hAnsiTheme="minorHAnsi" w:eastAsiaTheme="minorEastAsia"/>
              <w:noProof/>
              <w:lang w:eastAsia="en-GB"/>
            </w:rPr>
          </w:pPr>
          <w:hyperlink w:history="1" w:anchor="_Toc6744158">
            <w:r w:rsidRPr="00FE1867" w:rsidR="0096514F">
              <w:rPr>
                <w:rStyle w:val="Hyperlink"/>
                <w:noProof/>
              </w:rPr>
              <w:t>3.</w:t>
            </w:r>
            <w:r w:rsidR="0096514F">
              <w:rPr>
                <w:rFonts w:asciiTheme="minorHAnsi" w:hAnsiTheme="minorHAnsi" w:eastAsiaTheme="minorEastAsia"/>
                <w:noProof/>
                <w:lang w:eastAsia="en-GB"/>
              </w:rPr>
              <w:tab/>
            </w:r>
            <w:r w:rsidRPr="00FE1867" w:rsidR="0096514F">
              <w:rPr>
                <w:rStyle w:val="Hyperlink"/>
                <w:noProof/>
              </w:rPr>
              <w:t>Definitions</w:t>
            </w:r>
            <w:r w:rsidR="0096514F">
              <w:rPr>
                <w:noProof/>
                <w:webHidden/>
              </w:rPr>
              <w:tab/>
            </w:r>
            <w:r w:rsidR="0096514F">
              <w:rPr>
                <w:noProof/>
                <w:webHidden/>
              </w:rPr>
              <w:fldChar w:fldCharType="begin"/>
            </w:r>
            <w:r w:rsidR="0096514F">
              <w:rPr>
                <w:noProof/>
                <w:webHidden/>
              </w:rPr>
              <w:instrText xml:space="preserve"> PAGEREF _Toc6744158 \h </w:instrText>
            </w:r>
            <w:r w:rsidR="0096514F">
              <w:rPr>
                <w:noProof/>
                <w:webHidden/>
              </w:rPr>
            </w:r>
            <w:r w:rsidR="0096514F">
              <w:rPr>
                <w:noProof/>
                <w:webHidden/>
              </w:rPr>
              <w:fldChar w:fldCharType="separate"/>
            </w:r>
            <w:r w:rsidR="0096514F">
              <w:rPr>
                <w:noProof/>
                <w:webHidden/>
              </w:rPr>
              <w:t>3</w:t>
            </w:r>
            <w:r w:rsidR="0096514F">
              <w:rPr>
                <w:noProof/>
                <w:webHidden/>
              </w:rPr>
              <w:fldChar w:fldCharType="end"/>
            </w:r>
          </w:hyperlink>
        </w:p>
        <w:p w:rsidR="0096514F" w:rsidRDefault="007661B3" w14:paraId="4A39F048" w14:textId="30F2184B">
          <w:pPr>
            <w:pStyle w:val="TOC1"/>
            <w:tabs>
              <w:tab w:val="left" w:pos="440"/>
              <w:tab w:val="right" w:leader="dot" w:pos="9016"/>
            </w:tabs>
            <w:rPr>
              <w:rFonts w:asciiTheme="minorHAnsi" w:hAnsiTheme="minorHAnsi" w:eastAsiaTheme="minorEastAsia"/>
              <w:noProof/>
              <w:lang w:eastAsia="en-GB"/>
            </w:rPr>
          </w:pPr>
          <w:hyperlink w:history="1" w:anchor="_Toc6744159">
            <w:r w:rsidRPr="00FE1867" w:rsidR="0096514F">
              <w:rPr>
                <w:rStyle w:val="Hyperlink"/>
                <w:noProof/>
              </w:rPr>
              <w:t>4.</w:t>
            </w:r>
            <w:r w:rsidR="0096514F">
              <w:rPr>
                <w:rFonts w:asciiTheme="minorHAnsi" w:hAnsiTheme="minorHAnsi" w:eastAsiaTheme="minorEastAsia"/>
                <w:noProof/>
                <w:lang w:eastAsia="en-GB"/>
              </w:rPr>
              <w:tab/>
            </w:r>
            <w:r w:rsidRPr="00FE1867" w:rsidR="0096514F">
              <w:rPr>
                <w:rStyle w:val="Hyperlink"/>
                <w:noProof/>
              </w:rPr>
              <w:t>Introduction</w:t>
            </w:r>
            <w:r w:rsidR="0096514F">
              <w:rPr>
                <w:noProof/>
                <w:webHidden/>
              </w:rPr>
              <w:tab/>
            </w:r>
            <w:r w:rsidR="0096514F">
              <w:rPr>
                <w:noProof/>
                <w:webHidden/>
              </w:rPr>
              <w:fldChar w:fldCharType="begin"/>
            </w:r>
            <w:r w:rsidR="0096514F">
              <w:rPr>
                <w:noProof/>
                <w:webHidden/>
              </w:rPr>
              <w:instrText xml:space="preserve"> PAGEREF _Toc6744159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rsidR="0096514F" w:rsidRDefault="007661B3" w14:paraId="2BC3CDA1" w14:textId="1CDF4920">
          <w:pPr>
            <w:pStyle w:val="TOC1"/>
            <w:tabs>
              <w:tab w:val="left" w:pos="440"/>
              <w:tab w:val="right" w:leader="dot" w:pos="9016"/>
            </w:tabs>
            <w:rPr>
              <w:rFonts w:asciiTheme="minorHAnsi" w:hAnsiTheme="minorHAnsi" w:eastAsiaTheme="minorEastAsia"/>
              <w:noProof/>
              <w:lang w:eastAsia="en-GB"/>
            </w:rPr>
          </w:pPr>
          <w:hyperlink w:history="1" w:anchor="_Toc6744160">
            <w:r w:rsidRPr="00FE1867" w:rsidR="0096514F">
              <w:rPr>
                <w:rStyle w:val="Hyperlink"/>
                <w:noProof/>
              </w:rPr>
              <w:t>5.</w:t>
            </w:r>
            <w:r w:rsidR="0096514F">
              <w:rPr>
                <w:rFonts w:asciiTheme="minorHAnsi" w:hAnsiTheme="minorHAnsi" w:eastAsiaTheme="minorEastAsia"/>
                <w:noProof/>
                <w:lang w:eastAsia="en-GB"/>
              </w:rPr>
              <w:tab/>
            </w:r>
            <w:r w:rsidRPr="00FE1867" w:rsidR="0096514F">
              <w:rPr>
                <w:rStyle w:val="Hyperlink"/>
                <w:noProof/>
              </w:rPr>
              <w:t>Statutory Mandatory Framework</w:t>
            </w:r>
            <w:r w:rsidR="0096514F">
              <w:rPr>
                <w:noProof/>
                <w:webHidden/>
              </w:rPr>
              <w:tab/>
            </w:r>
            <w:r w:rsidR="0096514F">
              <w:rPr>
                <w:noProof/>
                <w:webHidden/>
              </w:rPr>
              <w:fldChar w:fldCharType="begin"/>
            </w:r>
            <w:r w:rsidR="0096514F">
              <w:rPr>
                <w:noProof/>
                <w:webHidden/>
              </w:rPr>
              <w:instrText xml:space="preserve"> PAGEREF _Toc6744160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rsidR="0096514F" w:rsidRDefault="007661B3" w14:paraId="11B45A4E" w14:textId="343158A3">
          <w:pPr>
            <w:pStyle w:val="TOC1"/>
            <w:tabs>
              <w:tab w:val="left" w:pos="440"/>
              <w:tab w:val="right" w:leader="dot" w:pos="9016"/>
            </w:tabs>
            <w:rPr>
              <w:rFonts w:asciiTheme="minorHAnsi" w:hAnsiTheme="minorHAnsi" w:eastAsiaTheme="minorEastAsia"/>
              <w:noProof/>
              <w:lang w:eastAsia="en-GB"/>
            </w:rPr>
          </w:pPr>
          <w:hyperlink w:history="1" w:anchor="_Toc6744161">
            <w:r w:rsidRPr="00FE1867" w:rsidR="0096514F">
              <w:rPr>
                <w:rStyle w:val="Hyperlink"/>
                <w:noProof/>
              </w:rPr>
              <w:t>6.</w:t>
            </w:r>
            <w:r w:rsidR="0096514F">
              <w:rPr>
                <w:rFonts w:asciiTheme="minorHAnsi" w:hAnsiTheme="minorHAnsi" w:eastAsiaTheme="minorEastAsia"/>
                <w:noProof/>
                <w:lang w:eastAsia="en-GB"/>
              </w:rPr>
              <w:tab/>
            </w:r>
            <w:r w:rsidRPr="00FE1867" w:rsidR="0096514F">
              <w:rPr>
                <w:rStyle w:val="Hyperlink"/>
                <w:noProof/>
              </w:rPr>
              <w:t>Accountable Parties</w:t>
            </w:r>
            <w:r w:rsidR="0096514F">
              <w:rPr>
                <w:noProof/>
                <w:webHidden/>
              </w:rPr>
              <w:tab/>
            </w:r>
            <w:r w:rsidR="0096514F">
              <w:rPr>
                <w:noProof/>
                <w:webHidden/>
              </w:rPr>
              <w:fldChar w:fldCharType="begin"/>
            </w:r>
            <w:r w:rsidR="0096514F">
              <w:rPr>
                <w:noProof/>
                <w:webHidden/>
              </w:rPr>
              <w:instrText xml:space="preserve"> PAGEREF _Toc6744161 \h </w:instrText>
            </w:r>
            <w:r w:rsidR="0096514F">
              <w:rPr>
                <w:noProof/>
                <w:webHidden/>
              </w:rPr>
            </w:r>
            <w:r w:rsidR="0096514F">
              <w:rPr>
                <w:noProof/>
                <w:webHidden/>
              </w:rPr>
              <w:fldChar w:fldCharType="separate"/>
            </w:r>
            <w:r w:rsidR="0096514F">
              <w:rPr>
                <w:noProof/>
                <w:webHidden/>
              </w:rPr>
              <w:t>4</w:t>
            </w:r>
            <w:r w:rsidR="0096514F">
              <w:rPr>
                <w:noProof/>
                <w:webHidden/>
              </w:rPr>
              <w:fldChar w:fldCharType="end"/>
            </w:r>
          </w:hyperlink>
        </w:p>
        <w:p w:rsidR="0096514F" w:rsidRDefault="007661B3" w14:paraId="4EF91A62" w14:textId="6044762E">
          <w:pPr>
            <w:pStyle w:val="TOC1"/>
            <w:tabs>
              <w:tab w:val="left" w:pos="440"/>
              <w:tab w:val="right" w:leader="dot" w:pos="9016"/>
            </w:tabs>
            <w:rPr>
              <w:rFonts w:asciiTheme="minorHAnsi" w:hAnsiTheme="minorHAnsi" w:eastAsiaTheme="minorEastAsia"/>
              <w:noProof/>
              <w:lang w:eastAsia="en-GB"/>
            </w:rPr>
          </w:pPr>
          <w:hyperlink w:history="1" w:anchor="_Toc6744162">
            <w:r w:rsidRPr="00FE1867" w:rsidR="0096514F">
              <w:rPr>
                <w:rStyle w:val="Hyperlink"/>
                <w:noProof/>
              </w:rPr>
              <w:t>7.</w:t>
            </w:r>
            <w:r w:rsidR="0096514F">
              <w:rPr>
                <w:rFonts w:asciiTheme="minorHAnsi" w:hAnsiTheme="minorHAnsi" w:eastAsiaTheme="minorEastAsia"/>
                <w:noProof/>
                <w:lang w:eastAsia="en-GB"/>
              </w:rPr>
              <w:tab/>
            </w:r>
            <w:r w:rsidRPr="00FE1867" w:rsidR="0096514F">
              <w:rPr>
                <w:rStyle w:val="Hyperlink"/>
                <w:noProof/>
              </w:rPr>
              <w:t>Background and Requirements</w:t>
            </w:r>
            <w:r w:rsidR="0096514F">
              <w:rPr>
                <w:noProof/>
                <w:webHidden/>
              </w:rPr>
              <w:tab/>
            </w:r>
            <w:r w:rsidR="0096514F">
              <w:rPr>
                <w:noProof/>
                <w:webHidden/>
              </w:rPr>
              <w:fldChar w:fldCharType="begin"/>
            </w:r>
            <w:r w:rsidR="0096514F">
              <w:rPr>
                <w:noProof/>
                <w:webHidden/>
              </w:rPr>
              <w:instrText xml:space="preserve"> PAGEREF _Toc6744162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rsidR="0096514F" w:rsidRDefault="007661B3" w14:paraId="4575F658" w14:textId="0679E285">
          <w:pPr>
            <w:pStyle w:val="TOC1"/>
            <w:tabs>
              <w:tab w:val="left" w:pos="440"/>
              <w:tab w:val="right" w:leader="dot" w:pos="9016"/>
            </w:tabs>
            <w:rPr>
              <w:rFonts w:asciiTheme="minorHAnsi" w:hAnsiTheme="minorHAnsi" w:eastAsiaTheme="minorEastAsia"/>
              <w:noProof/>
              <w:lang w:eastAsia="en-GB"/>
            </w:rPr>
          </w:pPr>
          <w:hyperlink w:history="1" w:anchor="_Toc6744163">
            <w:r w:rsidRPr="00FE1867" w:rsidR="0096514F">
              <w:rPr>
                <w:rStyle w:val="Hyperlink"/>
                <w:rFonts w:ascii="Arial" w:hAnsi="Arial" w:cs="Arial"/>
                <w:noProof/>
              </w:rPr>
              <w:t>8.</w:t>
            </w:r>
            <w:r w:rsidR="0096514F">
              <w:rPr>
                <w:rFonts w:asciiTheme="minorHAnsi" w:hAnsiTheme="minorHAnsi" w:eastAsiaTheme="minorEastAsia"/>
                <w:noProof/>
                <w:lang w:eastAsia="en-GB"/>
              </w:rPr>
              <w:tab/>
            </w:r>
            <w:r w:rsidRPr="00FE1867" w:rsidR="0096514F">
              <w:rPr>
                <w:rStyle w:val="Hyperlink"/>
                <w:noProof/>
              </w:rPr>
              <w:t>Requests for Routine Information</w:t>
            </w:r>
            <w:r w:rsidR="0096514F">
              <w:rPr>
                <w:noProof/>
                <w:webHidden/>
              </w:rPr>
              <w:tab/>
            </w:r>
            <w:r w:rsidR="0096514F">
              <w:rPr>
                <w:noProof/>
                <w:webHidden/>
              </w:rPr>
              <w:fldChar w:fldCharType="begin"/>
            </w:r>
            <w:r w:rsidR="0096514F">
              <w:rPr>
                <w:noProof/>
                <w:webHidden/>
              </w:rPr>
              <w:instrText xml:space="preserve"> PAGEREF _Toc6744163 \h </w:instrText>
            </w:r>
            <w:r w:rsidR="0096514F">
              <w:rPr>
                <w:noProof/>
                <w:webHidden/>
              </w:rPr>
            </w:r>
            <w:r w:rsidR="0096514F">
              <w:rPr>
                <w:noProof/>
                <w:webHidden/>
              </w:rPr>
              <w:fldChar w:fldCharType="separate"/>
            </w:r>
            <w:r w:rsidR="0096514F">
              <w:rPr>
                <w:noProof/>
                <w:webHidden/>
              </w:rPr>
              <w:t>5</w:t>
            </w:r>
            <w:r w:rsidR="0096514F">
              <w:rPr>
                <w:noProof/>
                <w:webHidden/>
              </w:rPr>
              <w:fldChar w:fldCharType="end"/>
            </w:r>
          </w:hyperlink>
        </w:p>
        <w:p w:rsidR="0096514F" w:rsidRDefault="007661B3" w14:paraId="59787884" w14:textId="19D140FD">
          <w:pPr>
            <w:pStyle w:val="TOC1"/>
            <w:tabs>
              <w:tab w:val="left" w:pos="440"/>
              <w:tab w:val="right" w:leader="dot" w:pos="9016"/>
            </w:tabs>
            <w:rPr>
              <w:rFonts w:asciiTheme="minorHAnsi" w:hAnsiTheme="minorHAnsi" w:eastAsiaTheme="minorEastAsia"/>
              <w:noProof/>
              <w:lang w:eastAsia="en-GB"/>
            </w:rPr>
          </w:pPr>
          <w:hyperlink w:history="1" w:anchor="_Toc6744164">
            <w:r w:rsidRPr="00FE1867" w:rsidR="0096514F">
              <w:rPr>
                <w:rStyle w:val="Hyperlink"/>
                <w:rFonts w:ascii="Arial" w:hAnsi="Arial"/>
                <w:noProof/>
              </w:rPr>
              <w:t>9.</w:t>
            </w:r>
            <w:r w:rsidR="0096514F">
              <w:rPr>
                <w:rFonts w:asciiTheme="minorHAnsi" w:hAnsiTheme="minorHAnsi" w:eastAsiaTheme="minorEastAsia"/>
                <w:noProof/>
                <w:lang w:eastAsia="en-GB"/>
              </w:rPr>
              <w:tab/>
            </w:r>
            <w:r w:rsidRPr="00FE1867" w:rsidR="0096514F">
              <w:rPr>
                <w:rStyle w:val="Hyperlink"/>
                <w:noProof/>
              </w:rPr>
              <w:t>Requests for Non-Routine Information</w:t>
            </w:r>
            <w:r w:rsidR="0096514F">
              <w:rPr>
                <w:noProof/>
                <w:webHidden/>
              </w:rPr>
              <w:tab/>
            </w:r>
            <w:r w:rsidR="0096514F">
              <w:rPr>
                <w:noProof/>
                <w:webHidden/>
              </w:rPr>
              <w:fldChar w:fldCharType="begin"/>
            </w:r>
            <w:r w:rsidR="0096514F">
              <w:rPr>
                <w:noProof/>
                <w:webHidden/>
              </w:rPr>
              <w:instrText xml:space="preserve"> PAGEREF _Toc6744164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rsidR="0096514F" w:rsidRDefault="007661B3" w14:paraId="7DB44507" w14:textId="7B646F23">
          <w:pPr>
            <w:pStyle w:val="TOC1"/>
            <w:tabs>
              <w:tab w:val="left" w:pos="660"/>
              <w:tab w:val="right" w:leader="dot" w:pos="9016"/>
            </w:tabs>
            <w:rPr>
              <w:rFonts w:asciiTheme="minorHAnsi" w:hAnsiTheme="minorHAnsi" w:eastAsiaTheme="minorEastAsia"/>
              <w:noProof/>
              <w:lang w:eastAsia="en-GB"/>
            </w:rPr>
          </w:pPr>
          <w:hyperlink w:history="1" w:anchor="_Toc6744165">
            <w:r w:rsidRPr="00FE1867" w:rsidR="0096514F">
              <w:rPr>
                <w:rStyle w:val="Hyperlink"/>
                <w:noProof/>
              </w:rPr>
              <w:t>10.</w:t>
            </w:r>
            <w:r w:rsidR="0096514F">
              <w:rPr>
                <w:rFonts w:asciiTheme="minorHAnsi" w:hAnsiTheme="minorHAnsi" w:eastAsiaTheme="minorEastAsia"/>
                <w:noProof/>
                <w:lang w:eastAsia="en-GB"/>
              </w:rPr>
              <w:tab/>
            </w:r>
            <w:r w:rsidRPr="00FE1867" w:rsidR="0096514F">
              <w:rPr>
                <w:rStyle w:val="Hyperlink"/>
                <w:noProof/>
              </w:rPr>
              <w:t>Handling Written Requests</w:t>
            </w:r>
            <w:r w:rsidR="0096514F">
              <w:rPr>
                <w:noProof/>
                <w:webHidden/>
              </w:rPr>
              <w:tab/>
            </w:r>
            <w:r w:rsidR="0096514F">
              <w:rPr>
                <w:noProof/>
                <w:webHidden/>
              </w:rPr>
              <w:fldChar w:fldCharType="begin"/>
            </w:r>
            <w:r w:rsidR="0096514F">
              <w:rPr>
                <w:noProof/>
                <w:webHidden/>
              </w:rPr>
              <w:instrText xml:space="preserve"> PAGEREF _Toc6744165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rsidR="0096514F" w:rsidRDefault="007661B3" w14:paraId="07C91F06" w14:textId="13E16016">
          <w:pPr>
            <w:pStyle w:val="TOC1"/>
            <w:tabs>
              <w:tab w:val="left" w:pos="660"/>
              <w:tab w:val="right" w:leader="dot" w:pos="9016"/>
            </w:tabs>
            <w:rPr>
              <w:rFonts w:asciiTheme="minorHAnsi" w:hAnsiTheme="minorHAnsi" w:eastAsiaTheme="minorEastAsia"/>
              <w:noProof/>
              <w:lang w:eastAsia="en-GB"/>
            </w:rPr>
          </w:pPr>
          <w:hyperlink w:history="1" w:anchor="_Toc6744166">
            <w:r w:rsidRPr="00FE1867" w:rsidR="0096514F">
              <w:rPr>
                <w:rStyle w:val="Hyperlink"/>
                <w:noProof/>
              </w:rPr>
              <w:t>11.</w:t>
            </w:r>
            <w:r w:rsidR="0096514F">
              <w:rPr>
                <w:rFonts w:asciiTheme="minorHAnsi" w:hAnsiTheme="minorHAnsi" w:eastAsiaTheme="minorEastAsia"/>
                <w:noProof/>
                <w:lang w:eastAsia="en-GB"/>
              </w:rPr>
              <w:tab/>
            </w:r>
            <w:r w:rsidRPr="00FE1867" w:rsidR="0096514F">
              <w:rPr>
                <w:rStyle w:val="Hyperlink"/>
                <w:noProof/>
              </w:rPr>
              <w:t>Supporting the Information Governance Lead</w:t>
            </w:r>
            <w:r w:rsidR="0096514F">
              <w:rPr>
                <w:noProof/>
                <w:webHidden/>
              </w:rPr>
              <w:tab/>
            </w:r>
            <w:r w:rsidR="0096514F">
              <w:rPr>
                <w:noProof/>
                <w:webHidden/>
              </w:rPr>
              <w:fldChar w:fldCharType="begin"/>
            </w:r>
            <w:r w:rsidR="0096514F">
              <w:rPr>
                <w:noProof/>
                <w:webHidden/>
              </w:rPr>
              <w:instrText xml:space="preserve"> PAGEREF _Toc6744166 \h </w:instrText>
            </w:r>
            <w:r w:rsidR="0096514F">
              <w:rPr>
                <w:noProof/>
                <w:webHidden/>
              </w:rPr>
            </w:r>
            <w:r w:rsidR="0096514F">
              <w:rPr>
                <w:noProof/>
                <w:webHidden/>
              </w:rPr>
              <w:fldChar w:fldCharType="separate"/>
            </w:r>
            <w:r w:rsidR="0096514F">
              <w:rPr>
                <w:noProof/>
                <w:webHidden/>
              </w:rPr>
              <w:t>6</w:t>
            </w:r>
            <w:r w:rsidR="0096514F">
              <w:rPr>
                <w:noProof/>
                <w:webHidden/>
              </w:rPr>
              <w:fldChar w:fldCharType="end"/>
            </w:r>
          </w:hyperlink>
        </w:p>
        <w:p w:rsidR="0096514F" w:rsidRDefault="007661B3" w14:paraId="49B7D7DC" w14:textId="0AF3F100">
          <w:pPr>
            <w:pStyle w:val="TOC1"/>
            <w:tabs>
              <w:tab w:val="left" w:pos="660"/>
              <w:tab w:val="right" w:leader="dot" w:pos="9016"/>
            </w:tabs>
            <w:rPr>
              <w:rFonts w:asciiTheme="minorHAnsi" w:hAnsiTheme="minorHAnsi" w:eastAsiaTheme="minorEastAsia"/>
              <w:noProof/>
              <w:lang w:eastAsia="en-GB"/>
            </w:rPr>
          </w:pPr>
          <w:hyperlink w:history="1" w:anchor="_Toc6744167">
            <w:r w:rsidRPr="00FE1867" w:rsidR="0096514F">
              <w:rPr>
                <w:rStyle w:val="Hyperlink"/>
                <w:noProof/>
              </w:rPr>
              <w:t>12.</w:t>
            </w:r>
            <w:r w:rsidR="0096514F">
              <w:rPr>
                <w:rFonts w:asciiTheme="minorHAnsi" w:hAnsiTheme="minorHAnsi" w:eastAsiaTheme="minorEastAsia"/>
                <w:noProof/>
                <w:lang w:eastAsia="en-GB"/>
              </w:rPr>
              <w:tab/>
            </w:r>
            <w:r w:rsidRPr="00FE1867" w:rsidR="0096514F">
              <w:rPr>
                <w:rStyle w:val="Hyperlink"/>
                <w:noProof/>
              </w:rPr>
              <w:t>Transferring a Request</w:t>
            </w:r>
            <w:r w:rsidR="0096514F">
              <w:rPr>
                <w:noProof/>
                <w:webHidden/>
              </w:rPr>
              <w:tab/>
            </w:r>
            <w:r w:rsidR="0096514F">
              <w:rPr>
                <w:noProof/>
                <w:webHidden/>
              </w:rPr>
              <w:fldChar w:fldCharType="begin"/>
            </w:r>
            <w:r w:rsidR="0096514F">
              <w:rPr>
                <w:noProof/>
                <w:webHidden/>
              </w:rPr>
              <w:instrText xml:space="preserve"> PAGEREF _Toc6744167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rsidR="0096514F" w:rsidRDefault="007661B3" w14:paraId="2CE0F2FB" w14:textId="61560410">
          <w:pPr>
            <w:pStyle w:val="TOC1"/>
            <w:tabs>
              <w:tab w:val="left" w:pos="660"/>
              <w:tab w:val="right" w:leader="dot" w:pos="9016"/>
            </w:tabs>
            <w:rPr>
              <w:rFonts w:asciiTheme="minorHAnsi" w:hAnsiTheme="minorHAnsi" w:eastAsiaTheme="minorEastAsia"/>
              <w:noProof/>
              <w:lang w:eastAsia="en-GB"/>
            </w:rPr>
          </w:pPr>
          <w:hyperlink w:history="1" w:anchor="_Toc6744168">
            <w:r w:rsidRPr="00FE1867" w:rsidR="0096514F">
              <w:rPr>
                <w:rStyle w:val="Hyperlink"/>
                <w:noProof/>
              </w:rPr>
              <w:t>13.</w:t>
            </w:r>
            <w:r w:rsidR="0096514F">
              <w:rPr>
                <w:rFonts w:asciiTheme="minorHAnsi" w:hAnsiTheme="minorHAnsi" w:eastAsiaTheme="minorEastAsia"/>
                <w:noProof/>
                <w:lang w:eastAsia="en-GB"/>
              </w:rPr>
              <w:tab/>
            </w:r>
            <w:r w:rsidRPr="00FE1867" w:rsidR="0096514F">
              <w:rPr>
                <w:rStyle w:val="Hyperlink"/>
                <w:noProof/>
              </w:rPr>
              <w:t>Processing a Request</w:t>
            </w:r>
            <w:r w:rsidR="0096514F">
              <w:rPr>
                <w:noProof/>
                <w:webHidden/>
              </w:rPr>
              <w:tab/>
            </w:r>
            <w:r w:rsidR="0096514F">
              <w:rPr>
                <w:noProof/>
                <w:webHidden/>
              </w:rPr>
              <w:fldChar w:fldCharType="begin"/>
            </w:r>
            <w:r w:rsidR="0096514F">
              <w:rPr>
                <w:noProof/>
                <w:webHidden/>
              </w:rPr>
              <w:instrText xml:space="preserve"> PAGEREF _Toc6744168 \h </w:instrText>
            </w:r>
            <w:r w:rsidR="0096514F">
              <w:rPr>
                <w:noProof/>
                <w:webHidden/>
              </w:rPr>
            </w:r>
            <w:r w:rsidR="0096514F">
              <w:rPr>
                <w:noProof/>
                <w:webHidden/>
              </w:rPr>
              <w:fldChar w:fldCharType="separate"/>
            </w:r>
            <w:r w:rsidR="0096514F">
              <w:rPr>
                <w:noProof/>
                <w:webHidden/>
              </w:rPr>
              <w:t>7</w:t>
            </w:r>
            <w:r w:rsidR="0096514F">
              <w:rPr>
                <w:noProof/>
                <w:webHidden/>
              </w:rPr>
              <w:fldChar w:fldCharType="end"/>
            </w:r>
          </w:hyperlink>
        </w:p>
        <w:p w:rsidR="0096514F" w:rsidRDefault="007661B3" w14:paraId="4CD65BC7" w14:textId="63AA1B54">
          <w:pPr>
            <w:pStyle w:val="TOC1"/>
            <w:tabs>
              <w:tab w:val="left" w:pos="660"/>
              <w:tab w:val="right" w:leader="dot" w:pos="9016"/>
            </w:tabs>
            <w:rPr>
              <w:rFonts w:asciiTheme="minorHAnsi" w:hAnsiTheme="minorHAnsi" w:eastAsiaTheme="minorEastAsia"/>
              <w:noProof/>
              <w:lang w:eastAsia="en-GB"/>
            </w:rPr>
          </w:pPr>
          <w:hyperlink w:history="1" w:anchor="_Toc6744169">
            <w:r w:rsidRPr="00FE1867" w:rsidR="0096514F">
              <w:rPr>
                <w:rStyle w:val="Hyperlink"/>
                <w:noProof/>
              </w:rPr>
              <w:t>14.</w:t>
            </w:r>
            <w:r w:rsidR="0096514F">
              <w:rPr>
                <w:rFonts w:asciiTheme="minorHAnsi" w:hAnsiTheme="minorHAnsi" w:eastAsiaTheme="minorEastAsia"/>
                <w:noProof/>
                <w:lang w:eastAsia="en-GB"/>
              </w:rPr>
              <w:tab/>
            </w:r>
            <w:r w:rsidRPr="00FE1867" w:rsidR="0096514F">
              <w:rPr>
                <w:rStyle w:val="Hyperlink"/>
                <w:noProof/>
              </w:rPr>
              <w:t>Charges and Fees</w:t>
            </w:r>
            <w:r w:rsidR="0096514F">
              <w:rPr>
                <w:noProof/>
                <w:webHidden/>
              </w:rPr>
              <w:tab/>
            </w:r>
            <w:r w:rsidR="0096514F">
              <w:rPr>
                <w:noProof/>
                <w:webHidden/>
              </w:rPr>
              <w:fldChar w:fldCharType="begin"/>
            </w:r>
            <w:r w:rsidR="0096514F">
              <w:rPr>
                <w:noProof/>
                <w:webHidden/>
              </w:rPr>
              <w:instrText xml:space="preserve"> PAGEREF _Toc6744169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rsidR="0096514F" w:rsidRDefault="007661B3" w14:paraId="568BBDE7" w14:textId="1275EA0B">
          <w:pPr>
            <w:pStyle w:val="TOC1"/>
            <w:tabs>
              <w:tab w:val="left" w:pos="660"/>
              <w:tab w:val="right" w:leader="dot" w:pos="9016"/>
            </w:tabs>
            <w:rPr>
              <w:rFonts w:asciiTheme="minorHAnsi" w:hAnsiTheme="minorHAnsi" w:eastAsiaTheme="minorEastAsia"/>
              <w:noProof/>
              <w:lang w:eastAsia="en-GB"/>
            </w:rPr>
          </w:pPr>
          <w:hyperlink w:history="1" w:anchor="_Toc6744170">
            <w:r w:rsidRPr="00FE1867" w:rsidR="0096514F">
              <w:rPr>
                <w:rStyle w:val="Hyperlink"/>
                <w:noProof/>
              </w:rPr>
              <w:t>15.</w:t>
            </w:r>
            <w:r w:rsidR="0096514F">
              <w:rPr>
                <w:rFonts w:asciiTheme="minorHAnsi" w:hAnsiTheme="minorHAnsi" w:eastAsiaTheme="minorEastAsia"/>
                <w:noProof/>
                <w:lang w:eastAsia="en-GB"/>
              </w:rPr>
              <w:tab/>
            </w:r>
            <w:r w:rsidRPr="00FE1867" w:rsidR="0096514F">
              <w:rPr>
                <w:rStyle w:val="Hyperlink"/>
                <w:noProof/>
              </w:rPr>
              <w:t>Information Media</w:t>
            </w:r>
            <w:r w:rsidR="0096514F">
              <w:rPr>
                <w:noProof/>
                <w:webHidden/>
              </w:rPr>
              <w:tab/>
            </w:r>
            <w:r w:rsidR="0096514F">
              <w:rPr>
                <w:noProof/>
                <w:webHidden/>
              </w:rPr>
              <w:fldChar w:fldCharType="begin"/>
            </w:r>
            <w:r w:rsidR="0096514F">
              <w:rPr>
                <w:noProof/>
                <w:webHidden/>
              </w:rPr>
              <w:instrText xml:space="preserve"> PAGEREF _Toc6744170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rsidR="0096514F" w:rsidRDefault="007661B3" w14:paraId="4A01343D" w14:textId="20F0E862">
          <w:pPr>
            <w:pStyle w:val="TOC1"/>
            <w:tabs>
              <w:tab w:val="left" w:pos="660"/>
              <w:tab w:val="right" w:leader="dot" w:pos="9016"/>
            </w:tabs>
            <w:rPr>
              <w:rFonts w:asciiTheme="minorHAnsi" w:hAnsiTheme="minorHAnsi" w:eastAsiaTheme="minorEastAsia"/>
              <w:noProof/>
              <w:lang w:eastAsia="en-GB"/>
            </w:rPr>
          </w:pPr>
          <w:hyperlink w:history="1" w:anchor="_Toc6744171">
            <w:r w:rsidRPr="00FE1867" w:rsidR="0096514F">
              <w:rPr>
                <w:rStyle w:val="Hyperlink"/>
                <w:noProof/>
              </w:rPr>
              <w:t>16.</w:t>
            </w:r>
            <w:r w:rsidR="0096514F">
              <w:rPr>
                <w:rFonts w:asciiTheme="minorHAnsi" w:hAnsiTheme="minorHAnsi" w:eastAsiaTheme="minorEastAsia"/>
                <w:noProof/>
                <w:lang w:eastAsia="en-GB"/>
              </w:rPr>
              <w:tab/>
            </w:r>
            <w:r w:rsidRPr="00FE1867" w:rsidR="0096514F">
              <w:rPr>
                <w:rStyle w:val="Hyperlink"/>
                <w:noProof/>
              </w:rPr>
              <w:t>Appeals</w:t>
            </w:r>
            <w:r w:rsidR="0096514F">
              <w:rPr>
                <w:noProof/>
                <w:webHidden/>
              </w:rPr>
              <w:tab/>
            </w:r>
            <w:r w:rsidR="0096514F">
              <w:rPr>
                <w:noProof/>
                <w:webHidden/>
              </w:rPr>
              <w:fldChar w:fldCharType="begin"/>
            </w:r>
            <w:r w:rsidR="0096514F">
              <w:rPr>
                <w:noProof/>
                <w:webHidden/>
              </w:rPr>
              <w:instrText xml:space="preserve"> PAGEREF _Toc6744171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rsidR="0096514F" w:rsidRDefault="007661B3" w14:paraId="2B3DE286" w14:textId="65BEBDF9">
          <w:pPr>
            <w:pStyle w:val="TOC1"/>
            <w:tabs>
              <w:tab w:val="right" w:leader="dot" w:pos="9016"/>
            </w:tabs>
            <w:rPr>
              <w:rFonts w:asciiTheme="minorHAnsi" w:hAnsiTheme="minorHAnsi" w:eastAsiaTheme="minorEastAsia"/>
              <w:noProof/>
              <w:lang w:eastAsia="en-GB"/>
            </w:rPr>
          </w:pPr>
          <w:hyperlink w:history="1" w:anchor="_Toc6744172">
            <w:r w:rsidRPr="00FE1867" w:rsidR="0096514F">
              <w:rPr>
                <w:rStyle w:val="Hyperlink"/>
                <w:noProof/>
              </w:rPr>
              <w:t>Appendix A – Exemptions</w:t>
            </w:r>
            <w:r w:rsidR="0096514F">
              <w:rPr>
                <w:noProof/>
                <w:webHidden/>
              </w:rPr>
              <w:tab/>
            </w:r>
            <w:r w:rsidR="0096514F">
              <w:rPr>
                <w:noProof/>
                <w:webHidden/>
              </w:rPr>
              <w:fldChar w:fldCharType="begin"/>
            </w:r>
            <w:r w:rsidR="0096514F">
              <w:rPr>
                <w:noProof/>
                <w:webHidden/>
              </w:rPr>
              <w:instrText xml:space="preserve"> PAGEREF _Toc6744172 \h </w:instrText>
            </w:r>
            <w:r w:rsidR="0096514F">
              <w:rPr>
                <w:noProof/>
                <w:webHidden/>
              </w:rPr>
            </w:r>
            <w:r w:rsidR="0096514F">
              <w:rPr>
                <w:noProof/>
                <w:webHidden/>
              </w:rPr>
              <w:fldChar w:fldCharType="separate"/>
            </w:r>
            <w:r w:rsidR="0096514F">
              <w:rPr>
                <w:noProof/>
                <w:webHidden/>
              </w:rPr>
              <w:t>8</w:t>
            </w:r>
            <w:r w:rsidR="0096514F">
              <w:rPr>
                <w:noProof/>
                <w:webHidden/>
              </w:rPr>
              <w:fldChar w:fldCharType="end"/>
            </w:r>
          </w:hyperlink>
        </w:p>
        <w:p w:rsidR="0096514F" w:rsidRDefault="007661B3" w14:paraId="00280AC5" w14:textId="35C09615">
          <w:pPr>
            <w:pStyle w:val="TOC1"/>
            <w:tabs>
              <w:tab w:val="left" w:pos="660"/>
              <w:tab w:val="right" w:leader="dot" w:pos="9016"/>
            </w:tabs>
            <w:rPr>
              <w:rFonts w:asciiTheme="minorHAnsi" w:hAnsiTheme="minorHAnsi" w:eastAsiaTheme="minorEastAsia"/>
              <w:noProof/>
              <w:lang w:eastAsia="en-GB"/>
            </w:rPr>
          </w:pPr>
          <w:hyperlink w:history="1" w:anchor="_Toc6744173">
            <w:r w:rsidRPr="00FE1867" w:rsidR="0096514F">
              <w:rPr>
                <w:rStyle w:val="Hyperlink"/>
                <w:noProof/>
              </w:rPr>
              <w:t>17.</w:t>
            </w:r>
            <w:r w:rsidR="0096514F">
              <w:rPr>
                <w:rFonts w:asciiTheme="minorHAnsi" w:hAnsiTheme="minorHAnsi" w:eastAsiaTheme="minorEastAsia"/>
                <w:noProof/>
                <w:lang w:eastAsia="en-GB"/>
              </w:rPr>
              <w:tab/>
            </w:r>
            <w:r w:rsidRPr="00FE1867" w:rsidR="0096514F">
              <w:rPr>
                <w:rStyle w:val="Hyperlink"/>
                <w:noProof/>
              </w:rPr>
              <w:t>Information Incidents</w:t>
            </w:r>
            <w:r w:rsidR="0096514F">
              <w:rPr>
                <w:noProof/>
                <w:webHidden/>
              </w:rPr>
              <w:tab/>
            </w:r>
            <w:r w:rsidR="0096514F">
              <w:rPr>
                <w:noProof/>
                <w:webHidden/>
              </w:rPr>
              <w:fldChar w:fldCharType="begin"/>
            </w:r>
            <w:r w:rsidR="0096514F">
              <w:rPr>
                <w:noProof/>
                <w:webHidden/>
              </w:rPr>
              <w:instrText xml:space="preserve"> PAGEREF _Toc6744173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rsidR="0096514F" w:rsidRDefault="007661B3" w14:paraId="1B31E41C" w14:textId="04C7B7E7">
          <w:pPr>
            <w:pStyle w:val="TOC1"/>
            <w:tabs>
              <w:tab w:val="left" w:pos="660"/>
              <w:tab w:val="right" w:leader="dot" w:pos="9016"/>
            </w:tabs>
            <w:rPr>
              <w:rFonts w:asciiTheme="minorHAnsi" w:hAnsiTheme="minorHAnsi" w:eastAsiaTheme="minorEastAsia"/>
              <w:noProof/>
              <w:lang w:eastAsia="en-GB"/>
            </w:rPr>
          </w:pPr>
          <w:hyperlink w:history="1" w:anchor="_Toc6744174">
            <w:r w:rsidRPr="00FE1867" w:rsidR="0096514F">
              <w:rPr>
                <w:rStyle w:val="Hyperlink"/>
                <w:noProof/>
              </w:rPr>
              <w:t>18.</w:t>
            </w:r>
            <w:r w:rsidR="0096514F">
              <w:rPr>
                <w:rFonts w:asciiTheme="minorHAnsi" w:hAnsiTheme="minorHAnsi" w:eastAsiaTheme="minorEastAsia"/>
                <w:noProof/>
                <w:lang w:eastAsia="en-GB"/>
              </w:rPr>
              <w:tab/>
            </w:r>
            <w:r w:rsidRPr="00FE1867" w:rsidR="0096514F">
              <w:rPr>
                <w:rStyle w:val="Hyperlink"/>
                <w:noProof/>
              </w:rPr>
              <w:t>Associated Protocols</w:t>
            </w:r>
            <w:r w:rsidR="0096514F">
              <w:rPr>
                <w:noProof/>
                <w:webHidden/>
              </w:rPr>
              <w:tab/>
            </w:r>
            <w:r w:rsidR="0096514F">
              <w:rPr>
                <w:noProof/>
                <w:webHidden/>
              </w:rPr>
              <w:fldChar w:fldCharType="begin"/>
            </w:r>
            <w:r w:rsidR="0096514F">
              <w:rPr>
                <w:noProof/>
                <w:webHidden/>
              </w:rPr>
              <w:instrText xml:space="preserve"> PAGEREF _Toc6744174 \h </w:instrText>
            </w:r>
            <w:r w:rsidR="0096514F">
              <w:rPr>
                <w:noProof/>
                <w:webHidden/>
              </w:rPr>
            </w:r>
            <w:r w:rsidR="0096514F">
              <w:rPr>
                <w:noProof/>
                <w:webHidden/>
              </w:rPr>
              <w:fldChar w:fldCharType="separate"/>
            </w:r>
            <w:r w:rsidR="0096514F">
              <w:rPr>
                <w:noProof/>
                <w:webHidden/>
              </w:rPr>
              <w:t>10</w:t>
            </w:r>
            <w:r w:rsidR="0096514F">
              <w:rPr>
                <w:noProof/>
                <w:webHidden/>
              </w:rPr>
              <w:fldChar w:fldCharType="end"/>
            </w:r>
          </w:hyperlink>
        </w:p>
        <w:p w:rsidR="0096514F" w:rsidRDefault="007661B3" w14:paraId="6408D705" w14:textId="6FEA7437">
          <w:pPr>
            <w:pStyle w:val="TOC1"/>
            <w:tabs>
              <w:tab w:val="left" w:pos="660"/>
              <w:tab w:val="right" w:leader="dot" w:pos="9016"/>
            </w:tabs>
            <w:rPr>
              <w:rFonts w:asciiTheme="minorHAnsi" w:hAnsiTheme="minorHAnsi" w:eastAsiaTheme="minorEastAsia"/>
              <w:noProof/>
              <w:lang w:eastAsia="en-GB"/>
            </w:rPr>
          </w:pPr>
          <w:hyperlink w:history="1" w:anchor="_Toc6744175">
            <w:r w:rsidRPr="00FE1867" w:rsidR="0096514F">
              <w:rPr>
                <w:rStyle w:val="Hyperlink"/>
                <w:noProof/>
              </w:rPr>
              <w:t>19.</w:t>
            </w:r>
            <w:r w:rsidR="0096514F">
              <w:rPr>
                <w:rFonts w:asciiTheme="minorHAnsi" w:hAnsiTheme="minorHAnsi" w:eastAsiaTheme="minorEastAsia"/>
                <w:noProof/>
                <w:lang w:eastAsia="en-GB"/>
              </w:rPr>
              <w:tab/>
            </w:r>
            <w:r w:rsidRPr="00FE1867" w:rsidR="0096514F">
              <w:rPr>
                <w:rStyle w:val="Hyperlink"/>
                <w:noProof/>
              </w:rPr>
              <w:t>Audit Schedule</w:t>
            </w:r>
            <w:r w:rsidR="0096514F">
              <w:rPr>
                <w:noProof/>
                <w:webHidden/>
              </w:rPr>
              <w:tab/>
            </w:r>
            <w:r w:rsidR="0096514F">
              <w:rPr>
                <w:noProof/>
                <w:webHidden/>
              </w:rPr>
              <w:fldChar w:fldCharType="begin"/>
            </w:r>
            <w:r w:rsidR="0096514F">
              <w:rPr>
                <w:noProof/>
                <w:webHidden/>
              </w:rPr>
              <w:instrText xml:space="preserve"> PAGEREF _Toc6744175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rsidR="0096514F" w:rsidRDefault="007661B3" w14:paraId="422DC2AB" w14:textId="6289B673">
          <w:pPr>
            <w:pStyle w:val="TOC1"/>
            <w:tabs>
              <w:tab w:val="left" w:pos="660"/>
              <w:tab w:val="right" w:leader="dot" w:pos="9016"/>
            </w:tabs>
            <w:rPr>
              <w:rFonts w:asciiTheme="minorHAnsi" w:hAnsiTheme="minorHAnsi" w:eastAsiaTheme="minorEastAsia"/>
              <w:noProof/>
              <w:lang w:eastAsia="en-GB"/>
            </w:rPr>
          </w:pPr>
          <w:hyperlink w:history="1" w:anchor="_Toc6744176">
            <w:r w:rsidRPr="00FE1867" w:rsidR="0096514F">
              <w:rPr>
                <w:rStyle w:val="Hyperlink"/>
                <w:noProof/>
              </w:rPr>
              <w:t>20.</w:t>
            </w:r>
            <w:r w:rsidR="0096514F">
              <w:rPr>
                <w:rFonts w:asciiTheme="minorHAnsi" w:hAnsiTheme="minorHAnsi" w:eastAsiaTheme="minorEastAsia"/>
                <w:noProof/>
                <w:lang w:eastAsia="en-GB"/>
              </w:rPr>
              <w:tab/>
            </w:r>
            <w:r w:rsidRPr="00FE1867" w:rsidR="0096514F">
              <w:rPr>
                <w:rStyle w:val="Hyperlink"/>
                <w:noProof/>
              </w:rPr>
              <w:t>Review</w:t>
            </w:r>
            <w:r w:rsidR="0096514F">
              <w:rPr>
                <w:noProof/>
                <w:webHidden/>
              </w:rPr>
              <w:tab/>
            </w:r>
            <w:r w:rsidR="0096514F">
              <w:rPr>
                <w:noProof/>
                <w:webHidden/>
              </w:rPr>
              <w:fldChar w:fldCharType="begin"/>
            </w:r>
            <w:r w:rsidR="0096514F">
              <w:rPr>
                <w:noProof/>
                <w:webHidden/>
              </w:rPr>
              <w:instrText xml:space="preserve"> PAGEREF _Toc6744176 \h </w:instrText>
            </w:r>
            <w:r w:rsidR="0096514F">
              <w:rPr>
                <w:noProof/>
                <w:webHidden/>
              </w:rPr>
            </w:r>
            <w:r w:rsidR="0096514F">
              <w:rPr>
                <w:noProof/>
                <w:webHidden/>
              </w:rPr>
              <w:fldChar w:fldCharType="separate"/>
            </w:r>
            <w:r w:rsidR="0096514F">
              <w:rPr>
                <w:noProof/>
                <w:webHidden/>
              </w:rPr>
              <w:t>11</w:t>
            </w:r>
            <w:r w:rsidR="0096514F">
              <w:rPr>
                <w:noProof/>
                <w:webHidden/>
              </w:rPr>
              <w:fldChar w:fldCharType="end"/>
            </w:r>
          </w:hyperlink>
        </w:p>
        <w:p w:rsidR="00F03257" w:rsidRDefault="00F03257" w14:paraId="7DFD60A2" w14:textId="19F34166">
          <w:pPr>
            <w:rPr>
              <w:b/>
              <w:bCs/>
              <w:noProof/>
            </w:rPr>
          </w:pPr>
          <w:r>
            <w:rPr>
              <w:b/>
              <w:bCs/>
              <w:noProof/>
            </w:rPr>
            <w:fldChar w:fldCharType="end"/>
          </w:r>
        </w:p>
      </w:sdtContent>
    </w:sdt>
    <w:p w:rsidR="0096514F" w:rsidP="0096514F" w:rsidRDefault="0096514F" w14:paraId="60F9DD55" w14:textId="77777777">
      <w:pPr>
        <w:pStyle w:val="Heading1"/>
      </w:pPr>
      <w:bookmarkStart w:name="_Toc6743472" w:id="0"/>
      <w:bookmarkStart w:name="_Toc6743703" w:id="1"/>
      <w:bookmarkStart w:name="_Toc6744157" w:id="2"/>
      <w:r>
        <w:t>Scope</w:t>
      </w:r>
      <w:bookmarkEnd w:id="0"/>
      <w:bookmarkEnd w:id="1"/>
      <w:bookmarkEnd w:id="2"/>
    </w:p>
    <w:p w:rsidR="0096514F" w:rsidP="0096514F" w:rsidRDefault="0096514F" w14:paraId="6CACE88F" w14:textId="52674309">
      <w:r>
        <w:t xml:space="preserve">This protocol has been drafted for use by customers of Kafico Ltd across </w:t>
      </w:r>
      <w:r w:rsidR="00A22A9D">
        <w:t>Suffolk</w:t>
      </w:r>
      <w:r>
        <w:t xml:space="preserve">. </w:t>
      </w:r>
    </w:p>
    <w:p w:rsidR="0096514F" w:rsidP="0096514F" w:rsidRDefault="0096514F" w14:paraId="40629841" w14:textId="77777777">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Pr="003C451F" w:rsidR="007661B3" w:rsidTr="00E70D1D" w14:paraId="3F955E15" w14:textId="77777777">
        <w:tc>
          <w:tcPr>
            <w:tcW w:w="3010" w:type="dxa"/>
            <w:vAlign w:val="center"/>
          </w:tcPr>
          <w:p w:rsidRPr="001F0B79" w:rsidR="007661B3" w:rsidP="00E70D1D" w:rsidRDefault="007661B3" w14:paraId="7322E1A5" w14:textId="77777777">
            <w:r w:rsidRPr="001F0B79">
              <w:rPr>
                <w:rFonts w:cs="Calibri"/>
                <w:color w:val="000000"/>
              </w:rPr>
              <w:t>Barrack</w:t>
            </w:r>
            <w:r>
              <w:rPr>
                <w:rFonts w:cs="Calibri"/>
                <w:color w:val="000000"/>
              </w:rPr>
              <w:t xml:space="preserve"> Lane</w:t>
            </w:r>
          </w:p>
        </w:tc>
        <w:tc>
          <w:tcPr>
            <w:tcW w:w="3005" w:type="dxa"/>
            <w:vAlign w:val="center"/>
          </w:tcPr>
          <w:p w:rsidRPr="001F0B79" w:rsidR="007661B3" w:rsidP="00E70D1D" w:rsidRDefault="007661B3" w14:paraId="1C3767C9" w14:textId="77777777">
            <w:r w:rsidRPr="001F0B79">
              <w:rPr>
                <w:rFonts w:cs="Calibri"/>
                <w:color w:val="000000"/>
              </w:rPr>
              <w:t>Martlesham</w:t>
            </w:r>
          </w:p>
        </w:tc>
        <w:tc>
          <w:tcPr>
            <w:tcW w:w="3199" w:type="dxa"/>
            <w:vAlign w:val="center"/>
          </w:tcPr>
          <w:p w:rsidRPr="001F0B79" w:rsidR="007661B3" w:rsidP="00E70D1D" w:rsidRDefault="007661B3" w14:paraId="149552C7" w14:textId="77777777">
            <w:r w:rsidRPr="001F0B79">
              <w:rPr>
                <w:rFonts w:cs="Calibri"/>
                <w:color w:val="000000"/>
              </w:rPr>
              <w:t>Mendlesham</w:t>
            </w:r>
          </w:p>
        </w:tc>
      </w:tr>
      <w:tr w:rsidRPr="003C451F" w:rsidR="007661B3" w:rsidTr="00E70D1D" w14:paraId="61736102" w14:textId="77777777">
        <w:tc>
          <w:tcPr>
            <w:tcW w:w="3010" w:type="dxa"/>
            <w:vAlign w:val="center"/>
          </w:tcPr>
          <w:p w:rsidRPr="001F0B79" w:rsidR="007661B3" w:rsidP="00E70D1D" w:rsidRDefault="007661B3" w14:paraId="60471189" w14:textId="77777777">
            <w:r w:rsidRPr="001F0B79">
              <w:rPr>
                <w:rFonts w:cs="Calibri"/>
                <w:color w:val="000000"/>
              </w:rPr>
              <w:t>Burlington Road</w:t>
            </w:r>
          </w:p>
        </w:tc>
        <w:tc>
          <w:tcPr>
            <w:tcW w:w="3005" w:type="dxa"/>
            <w:vAlign w:val="center"/>
          </w:tcPr>
          <w:p w:rsidRPr="001F0B79" w:rsidR="007661B3" w:rsidP="00E70D1D" w:rsidRDefault="007661B3" w14:paraId="2178A0AB" w14:textId="77777777">
            <w:r w:rsidRPr="001F0B79">
              <w:rPr>
                <w:rFonts w:cs="Calibri"/>
                <w:color w:val="000000"/>
              </w:rPr>
              <w:t>Ravenswood</w:t>
            </w:r>
          </w:p>
        </w:tc>
        <w:tc>
          <w:tcPr>
            <w:tcW w:w="3199" w:type="dxa"/>
            <w:vAlign w:val="center"/>
          </w:tcPr>
          <w:p w:rsidRPr="001F0B79" w:rsidR="007661B3" w:rsidP="00E70D1D" w:rsidRDefault="007661B3" w14:paraId="2BB8892E" w14:textId="77777777">
            <w:r w:rsidRPr="001F0B79">
              <w:rPr>
                <w:rFonts w:cs="Calibri"/>
                <w:color w:val="000000"/>
              </w:rPr>
              <w:t>Wickhambrook</w:t>
            </w:r>
          </w:p>
        </w:tc>
      </w:tr>
      <w:tr w:rsidRPr="003C451F" w:rsidR="007661B3" w:rsidTr="00E70D1D" w14:paraId="2A0C9AC8" w14:textId="77777777">
        <w:tc>
          <w:tcPr>
            <w:tcW w:w="3010" w:type="dxa"/>
            <w:vAlign w:val="center"/>
          </w:tcPr>
          <w:p w:rsidRPr="001F0B79" w:rsidR="007661B3" w:rsidP="00E70D1D" w:rsidRDefault="007661B3" w14:paraId="225D6584" w14:textId="77777777">
            <w:r w:rsidRPr="001F0B79">
              <w:rPr>
                <w:rFonts w:cs="Calibri"/>
                <w:color w:val="000000"/>
              </w:rPr>
              <w:t>Framlingham</w:t>
            </w:r>
          </w:p>
        </w:tc>
        <w:tc>
          <w:tcPr>
            <w:tcW w:w="3005" w:type="dxa"/>
            <w:vAlign w:val="center"/>
          </w:tcPr>
          <w:p w:rsidRPr="001F0B79" w:rsidR="007661B3" w:rsidP="00E70D1D" w:rsidRDefault="007661B3" w14:paraId="740C3FFB" w14:textId="77777777">
            <w:r w:rsidRPr="001F0B79">
              <w:rPr>
                <w:rFonts w:cs="Calibri"/>
                <w:color w:val="000000"/>
              </w:rPr>
              <w:t>Stanton (west)</w:t>
            </w:r>
          </w:p>
        </w:tc>
        <w:tc>
          <w:tcPr>
            <w:tcW w:w="3199" w:type="dxa"/>
            <w:vAlign w:val="center"/>
          </w:tcPr>
          <w:p w:rsidRPr="001F0B79" w:rsidR="007661B3" w:rsidP="00E70D1D" w:rsidRDefault="007661B3" w14:paraId="14FF87E2" w14:textId="77777777">
            <w:r w:rsidRPr="001F0B79">
              <w:rPr>
                <w:rFonts w:cs="Calibri"/>
                <w:color w:val="000000"/>
              </w:rPr>
              <w:t>Church Farm Surgery (Aldeburgh)</w:t>
            </w:r>
          </w:p>
        </w:tc>
      </w:tr>
      <w:tr w:rsidRPr="003C451F" w:rsidR="007661B3" w:rsidTr="00E70D1D" w14:paraId="250B7EAC" w14:textId="77777777">
        <w:tc>
          <w:tcPr>
            <w:tcW w:w="3010" w:type="dxa"/>
            <w:vAlign w:val="center"/>
          </w:tcPr>
          <w:p w:rsidRPr="001F0B79" w:rsidR="007661B3" w:rsidP="00E70D1D" w:rsidRDefault="007661B3" w14:paraId="409AAE8B" w14:textId="77777777">
            <w:r>
              <w:rPr>
                <w:rFonts w:cs="Calibri"/>
                <w:color w:val="000000"/>
              </w:rPr>
              <w:t>Botesdale Health Centre</w:t>
            </w:r>
          </w:p>
        </w:tc>
        <w:tc>
          <w:tcPr>
            <w:tcW w:w="3005" w:type="dxa"/>
            <w:vAlign w:val="center"/>
          </w:tcPr>
          <w:p w:rsidRPr="001F0B79" w:rsidR="007661B3" w:rsidP="00E70D1D" w:rsidRDefault="007661B3" w14:paraId="0926D3B4" w14:textId="77777777">
            <w:r w:rsidRPr="001F0B79">
              <w:rPr>
                <w:rFonts w:cs="Calibri"/>
                <w:color w:val="000000"/>
              </w:rPr>
              <w:t>The Birches</w:t>
            </w:r>
          </w:p>
        </w:tc>
        <w:tc>
          <w:tcPr>
            <w:tcW w:w="3199" w:type="dxa"/>
            <w:vAlign w:val="center"/>
          </w:tcPr>
          <w:p w:rsidRPr="001F0B79" w:rsidR="007661B3" w:rsidP="00E70D1D" w:rsidRDefault="007661B3" w14:paraId="319465A0" w14:textId="77777777">
            <w:r w:rsidRPr="001F0B79">
              <w:rPr>
                <w:rFonts w:cs="Calibri"/>
                <w:color w:val="000000"/>
              </w:rPr>
              <w:t>Framfield</w:t>
            </w:r>
          </w:p>
        </w:tc>
      </w:tr>
      <w:tr w:rsidRPr="003C451F" w:rsidR="007661B3" w:rsidTr="00E70D1D" w14:paraId="16D4925B" w14:textId="77777777">
        <w:tc>
          <w:tcPr>
            <w:tcW w:w="3010" w:type="dxa"/>
            <w:vAlign w:val="center"/>
          </w:tcPr>
          <w:p w:rsidRPr="001F0B79" w:rsidR="007661B3" w:rsidP="00E70D1D" w:rsidRDefault="007661B3" w14:paraId="45075444" w14:textId="77777777">
            <w:r w:rsidRPr="001F0B79">
              <w:rPr>
                <w:rFonts w:cs="Calibri"/>
                <w:color w:val="000000"/>
              </w:rPr>
              <w:t>Felixstowe Road</w:t>
            </w:r>
          </w:p>
        </w:tc>
        <w:tc>
          <w:tcPr>
            <w:tcW w:w="3005" w:type="dxa"/>
            <w:vAlign w:val="center"/>
          </w:tcPr>
          <w:p w:rsidRPr="001F0B79" w:rsidR="007661B3" w:rsidP="00E70D1D" w:rsidRDefault="007661B3" w14:paraId="45388EFE" w14:textId="77777777">
            <w:r w:rsidRPr="001F0B79">
              <w:rPr>
                <w:rFonts w:cs="Calibri"/>
                <w:color w:val="000000"/>
              </w:rPr>
              <w:t>Mount Farm</w:t>
            </w:r>
          </w:p>
        </w:tc>
        <w:tc>
          <w:tcPr>
            <w:tcW w:w="3199" w:type="dxa"/>
            <w:vAlign w:val="center"/>
          </w:tcPr>
          <w:p w:rsidRPr="001F0B79" w:rsidR="007661B3" w:rsidP="00E70D1D" w:rsidRDefault="007661B3" w14:paraId="25D27B65" w14:textId="77777777">
            <w:r w:rsidRPr="001F0B79">
              <w:rPr>
                <w:rFonts w:cs="Calibri"/>
                <w:color w:val="000000"/>
              </w:rPr>
              <w:t>Saxmundham</w:t>
            </w:r>
          </w:p>
        </w:tc>
      </w:tr>
      <w:tr w:rsidRPr="003C451F" w:rsidR="007661B3" w:rsidTr="00E70D1D" w14:paraId="16E0449F" w14:textId="77777777">
        <w:tc>
          <w:tcPr>
            <w:tcW w:w="3010" w:type="dxa"/>
            <w:vAlign w:val="center"/>
          </w:tcPr>
          <w:p w:rsidRPr="001F0B79" w:rsidR="007661B3" w:rsidP="00E70D1D" w:rsidRDefault="007661B3" w14:paraId="73FF7D87" w14:textId="77777777">
            <w:r w:rsidRPr="001F0B79">
              <w:rPr>
                <w:rFonts w:cs="Calibri"/>
                <w:color w:val="000000"/>
              </w:rPr>
              <w:t>Hawthorn Drive</w:t>
            </w:r>
          </w:p>
        </w:tc>
        <w:tc>
          <w:tcPr>
            <w:tcW w:w="3005" w:type="dxa"/>
            <w:vAlign w:val="center"/>
          </w:tcPr>
          <w:p w:rsidRPr="001F0B79" w:rsidR="007661B3" w:rsidP="00E70D1D" w:rsidRDefault="007661B3" w14:paraId="2B7FA765" w14:textId="77777777">
            <w:r w:rsidRPr="001F0B79">
              <w:rPr>
                <w:rFonts w:cs="Calibri"/>
                <w:color w:val="000000"/>
              </w:rPr>
              <w:t>Swan and Forest</w:t>
            </w:r>
          </w:p>
        </w:tc>
        <w:tc>
          <w:tcPr>
            <w:tcW w:w="3199" w:type="dxa"/>
            <w:vAlign w:val="center"/>
          </w:tcPr>
          <w:p w:rsidRPr="001F0B79" w:rsidR="007661B3" w:rsidP="00E70D1D" w:rsidRDefault="007661B3" w14:paraId="5B459133" w14:textId="77777777">
            <w:r w:rsidRPr="001F0B79">
              <w:rPr>
                <w:rFonts w:cs="Calibri"/>
                <w:color w:val="000000"/>
              </w:rPr>
              <w:t>Guildhall &amp; Barrow</w:t>
            </w:r>
          </w:p>
        </w:tc>
      </w:tr>
      <w:tr w:rsidRPr="003C451F" w:rsidR="007661B3" w:rsidTr="00E70D1D" w14:paraId="23460BCB" w14:textId="77777777">
        <w:tc>
          <w:tcPr>
            <w:tcW w:w="3010" w:type="dxa"/>
            <w:vAlign w:val="center"/>
          </w:tcPr>
          <w:p w:rsidRPr="001F0B79" w:rsidR="007661B3" w:rsidP="00E70D1D" w:rsidRDefault="007661B3" w14:paraId="34B53B3D" w14:textId="77777777">
            <w:r>
              <w:t>The Surgery, Leiston</w:t>
            </w:r>
          </w:p>
        </w:tc>
        <w:tc>
          <w:tcPr>
            <w:tcW w:w="3005" w:type="dxa"/>
            <w:vAlign w:val="center"/>
          </w:tcPr>
          <w:p w:rsidRPr="001F0B79" w:rsidR="007661B3" w:rsidP="00E70D1D" w:rsidRDefault="007661B3" w14:paraId="27AE64D5" w14:textId="77777777">
            <w:r w:rsidRPr="001F0B79">
              <w:rPr>
                <w:rFonts w:cs="Calibri"/>
                <w:color w:val="000000"/>
              </w:rPr>
              <w:t>Glemsford</w:t>
            </w:r>
          </w:p>
        </w:tc>
        <w:tc>
          <w:tcPr>
            <w:tcW w:w="3199" w:type="dxa"/>
            <w:vAlign w:val="center"/>
          </w:tcPr>
          <w:p w:rsidRPr="001F0B79" w:rsidR="007661B3" w:rsidP="00E70D1D" w:rsidRDefault="007661B3" w14:paraId="685F18C4" w14:textId="77777777">
            <w:r w:rsidRPr="001F0B79">
              <w:rPr>
                <w:rFonts w:cs="Calibri"/>
                <w:color w:val="000000"/>
              </w:rPr>
              <w:t>Peninsula</w:t>
            </w:r>
          </w:p>
        </w:tc>
      </w:tr>
      <w:tr w:rsidRPr="003C451F" w:rsidR="007661B3" w:rsidTr="00E70D1D" w14:paraId="7D95DC68" w14:textId="77777777">
        <w:tc>
          <w:tcPr>
            <w:tcW w:w="3010" w:type="dxa"/>
            <w:vAlign w:val="center"/>
          </w:tcPr>
          <w:p w:rsidRPr="001F0B79" w:rsidR="007661B3" w:rsidP="00E70D1D" w:rsidRDefault="007661B3" w14:paraId="513F367F" w14:textId="77777777">
            <w:r w:rsidRPr="001F0B79">
              <w:rPr>
                <w:rFonts w:cs="Calibri"/>
                <w:color w:val="000000"/>
              </w:rPr>
              <w:t>Victoria Surgery</w:t>
            </w:r>
          </w:p>
        </w:tc>
        <w:tc>
          <w:tcPr>
            <w:tcW w:w="3005" w:type="dxa"/>
            <w:vAlign w:val="center"/>
          </w:tcPr>
          <w:p w:rsidRPr="001F0B79" w:rsidR="007661B3" w:rsidP="00E70D1D" w:rsidRDefault="007661B3" w14:paraId="011A987B" w14:textId="77777777">
            <w:r w:rsidRPr="001F0B79">
              <w:rPr>
                <w:rFonts w:cs="Calibri"/>
                <w:color w:val="000000"/>
              </w:rPr>
              <w:t>Lakenheath</w:t>
            </w:r>
          </w:p>
        </w:tc>
        <w:tc>
          <w:tcPr>
            <w:tcW w:w="3199" w:type="dxa"/>
            <w:vAlign w:val="center"/>
          </w:tcPr>
          <w:p w:rsidRPr="001F0B79" w:rsidR="007661B3" w:rsidP="00E70D1D" w:rsidRDefault="007661B3" w14:paraId="74586133" w14:textId="77777777">
            <w:r w:rsidRPr="001F0B79">
              <w:rPr>
                <w:rFonts w:cs="Calibri"/>
                <w:color w:val="000000"/>
              </w:rPr>
              <w:t>Little St John Street</w:t>
            </w:r>
          </w:p>
        </w:tc>
      </w:tr>
      <w:tr w:rsidRPr="003C451F" w:rsidR="007661B3" w:rsidTr="00E70D1D" w14:paraId="25F9A328" w14:textId="77777777">
        <w:tc>
          <w:tcPr>
            <w:tcW w:w="3010" w:type="dxa"/>
            <w:vAlign w:val="center"/>
          </w:tcPr>
          <w:p w:rsidRPr="001F0B79" w:rsidR="007661B3" w:rsidP="00E70D1D" w:rsidRDefault="007661B3" w14:paraId="79358953" w14:textId="77777777">
            <w:r w:rsidRPr="001F0B79">
              <w:rPr>
                <w:rFonts w:cs="Calibri"/>
                <w:color w:val="000000"/>
              </w:rPr>
              <w:t>Ivry Street</w:t>
            </w:r>
          </w:p>
        </w:tc>
        <w:tc>
          <w:tcPr>
            <w:tcW w:w="3005" w:type="dxa"/>
            <w:vAlign w:val="center"/>
          </w:tcPr>
          <w:p w:rsidRPr="001F0B79" w:rsidR="007661B3" w:rsidP="00E70D1D" w:rsidRDefault="007661B3" w14:paraId="15E2259F" w14:textId="77777777">
            <w:r w:rsidRPr="001F0B79">
              <w:rPr>
                <w:rFonts w:cs="Calibri"/>
                <w:color w:val="000000"/>
              </w:rPr>
              <w:t>Ixworth</w:t>
            </w:r>
          </w:p>
        </w:tc>
        <w:tc>
          <w:tcPr>
            <w:tcW w:w="3199" w:type="dxa"/>
          </w:tcPr>
          <w:p w:rsidRPr="001F0B79" w:rsidR="007661B3" w:rsidP="00E70D1D" w:rsidRDefault="007661B3" w14:paraId="1FCA10F7" w14:textId="77777777">
            <w:r>
              <w:t>Grove Medical Centre</w:t>
            </w:r>
          </w:p>
        </w:tc>
      </w:tr>
    </w:tbl>
    <w:p w:rsidR="0096514F" w:rsidRDefault="0096514F" w14:paraId="242095DC" w14:textId="70A9E1F5">
      <w:bookmarkStart w:name="_GoBack" w:id="3"/>
      <w:bookmarkEnd w:id="3"/>
    </w:p>
    <w:p w:rsidR="00ED5CD6" w:rsidP="00ED5CD6" w:rsidRDefault="00ED5CD6" w14:paraId="78CE0B99" w14:textId="77777777">
      <w:pPr>
        <w:pStyle w:val="Heading1"/>
      </w:pPr>
      <w:bookmarkStart w:name="_Toc504985442" w:id="4"/>
      <w:bookmarkStart w:name="_Toc6744158" w:id="5"/>
      <w:r>
        <w:t>Definitions</w:t>
      </w:r>
      <w:bookmarkEnd w:id="4"/>
      <w:bookmarkEnd w:id="5"/>
    </w:p>
    <w:p w:rsidRPr="005E6604" w:rsidR="00ED5CD6" w:rsidP="00ED5CD6" w:rsidRDefault="00ED5CD6" w14:paraId="139FF448" w14:textId="6318E96F">
      <w:pPr>
        <w:ind w:left="4320" w:hanging="4320"/>
      </w:pPr>
      <w:r w:rsidRPr="000818B6">
        <w:rPr>
          <w:b/>
        </w:rPr>
        <w:t>Personal Confidential Information</w:t>
      </w:r>
      <w:r>
        <w:t xml:space="preserve"> </w:t>
      </w:r>
      <w:r>
        <w:tab/>
      </w:r>
      <w:r>
        <w:t xml:space="preserve">This term is intended to cover information captured by the Data Protection Act </w:t>
      </w:r>
      <w:r w:rsidR="00CB1C00">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15238E43">
      <w:pPr>
        <w:pStyle w:val="Heading1"/>
      </w:pPr>
      <w:bookmarkStart w:name="_Toc6744159" w:id="6"/>
      <w:r w:rsidRPr="00B94E5A">
        <w:lastRenderedPageBreak/>
        <w:t>Introduction</w:t>
      </w:r>
      <w:bookmarkEnd w:id="6"/>
    </w:p>
    <w:p w:rsidRPr="00901D8E" w:rsidR="00901D8E" w:rsidP="00901D8E" w:rsidRDefault="00901D8E" w14:paraId="10156DF8" w14:textId="341BB051">
      <w:r>
        <w:t xml:space="preserve">This protocol supports staff to deal with requests for information so that the </w:t>
      </w:r>
      <w:r w:rsidRPr="00A3731C" w:rsidR="0096514F">
        <w:rPr>
          <w:b/>
        </w:rPr>
        <w:t>Practice</w:t>
      </w:r>
      <w:r w:rsidR="0096514F">
        <w:t xml:space="preserve"> </w:t>
      </w:r>
      <w:r>
        <w:t xml:space="preserve">complies with the </w:t>
      </w:r>
      <w:r w:rsidRPr="00E839B5">
        <w:t>requirements of the Freedom of Information Act 2000 in line with the</w:t>
      </w:r>
      <w:r w:rsidR="0096514F">
        <w:t xml:space="preserve"> </w:t>
      </w:r>
      <w:r w:rsidRPr="00297D26" w:rsidR="0096514F">
        <w:rPr>
          <w:b/>
        </w:rPr>
        <w:t>Practice</w:t>
      </w:r>
      <w:r w:rsidRPr="00E839B5">
        <w:t>’s overall commitment to transparency.</w:t>
      </w:r>
    </w:p>
    <w:p w:rsidR="00B94E5A" w:rsidP="00F03257" w:rsidRDefault="00F03257" w14:paraId="4022E063" w14:textId="60F0DACD">
      <w:pPr>
        <w:pStyle w:val="Heading1"/>
      </w:pPr>
      <w:bookmarkStart w:name="_Toc6744160" w:id="7"/>
      <w:r>
        <w:t>Statutory Mandatory Framework</w:t>
      </w:r>
      <w:bookmarkEnd w:id="7"/>
    </w:p>
    <w:p w:rsidR="00C45FEC" w:rsidP="00C45FEC" w:rsidRDefault="00C45FEC" w14:paraId="1F863150" w14:textId="77777777">
      <w:pPr>
        <w:pStyle w:val="BodyText"/>
        <w:rPr>
          <w:rFonts w:ascii="Arial" w:hAnsi="Arial"/>
        </w:rPr>
      </w:pPr>
      <w:r>
        <w:t xml:space="preserve">The Freedom of Information (FOI) Act 2000 provides any person with the right to: </w:t>
      </w:r>
    </w:p>
    <w:p w:rsidR="00C45FEC" w:rsidP="00C45FEC" w:rsidRDefault="00C45FEC" w14:paraId="7A1E83FB" w14:textId="77777777">
      <w:pPr>
        <w:pStyle w:val="BodyText"/>
        <w:numPr>
          <w:ilvl w:val="0"/>
          <w:numId w:val="38"/>
        </w:numPr>
      </w:pPr>
      <w:r>
        <w:t xml:space="preserve">Be informed in writing by the public authority whether it holds information of the description specified in the request </w:t>
      </w:r>
    </w:p>
    <w:p w:rsidR="00C45FEC" w:rsidP="00C45FEC" w:rsidRDefault="00C45FEC" w14:paraId="7FBA1DAE" w14:textId="77777777">
      <w:pPr>
        <w:pStyle w:val="BodyText"/>
        <w:numPr>
          <w:ilvl w:val="0"/>
          <w:numId w:val="38"/>
        </w:numPr>
      </w:pPr>
      <w:r>
        <w:t xml:space="preserve">If that is the case, to have that information communicated to him/her within 20 working days. </w:t>
      </w:r>
    </w:p>
    <w:p w:rsidR="00C45FEC" w:rsidP="00C45FEC" w:rsidRDefault="00C45FEC" w14:paraId="221192D3" w14:textId="36197280">
      <w:pPr>
        <w:pStyle w:val="BodyText"/>
        <w:numPr>
          <w:ilvl w:val="0"/>
          <w:numId w:val="38"/>
        </w:numPr>
      </w:pPr>
      <w:r>
        <w:t xml:space="preserve">This protocol aims to provide a general understanding of the principles of the Act and what is required of </w:t>
      </w:r>
      <w:r w:rsidRPr="00A3731C" w:rsidR="0096514F">
        <w:rPr>
          <w:b/>
        </w:rPr>
        <w:t>The</w:t>
      </w:r>
      <w:r w:rsidR="0096514F">
        <w:t xml:space="preserve"> </w:t>
      </w:r>
      <w:r w:rsidRPr="00297D26" w:rsidR="0096514F">
        <w:rPr>
          <w:b/>
        </w:rPr>
        <w:t>Practice</w:t>
      </w:r>
      <w:r w:rsidR="0096514F">
        <w:t xml:space="preserve"> </w:t>
      </w:r>
      <w:r>
        <w:t xml:space="preserve">to comply with these regulations. </w:t>
      </w:r>
    </w:p>
    <w:p w:rsidR="00C45FEC" w:rsidP="00C45FEC" w:rsidRDefault="00C45FEC" w14:paraId="173A70D0" w14:textId="77777777">
      <w:pPr>
        <w:pStyle w:val="BodyText"/>
      </w:pPr>
    </w:p>
    <w:p w:rsidR="00C45FEC" w:rsidP="00C45FEC" w:rsidRDefault="00C45FEC" w14:paraId="38068BF8" w14:textId="77777777">
      <w:pPr>
        <w:pStyle w:val="BodyText"/>
      </w:pPr>
      <w:r>
        <w:t xml:space="preserve">The Act also specifies a number of exemptions (see Appendix A) which can be provide a legal route for public authorities in denying a request. </w:t>
      </w:r>
    </w:p>
    <w:p w:rsidR="00C45FEC" w:rsidP="00C45FEC" w:rsidRDefault="00C45FEC" w14:paraId="6E34699B" w14:textId="77777777">
      <w:pPr>
        <w:pStyle w:val="BodyText"/>
      </w:pPr>
    </w:p>
    <w:p w:rsidR="00C45FEC" w:rsidP="00C45FEC" w:rsidRDefault="00C45FEC" w14:paraId="6BC44835" w14:textId="77777777">
      <w:pPr>
        <w:pStyle w:val="BodyText"/>
      </w:pPr>
      <w:r>
        <w:t>Exemptions are either Absolute and Qualified. Qualified exemptions are subject to the Public Interest Test</w:t>
      </w:r>
    </w:p>
    <w:p w:rsidR="00B94E5A" w:rsidP="00163DF8" w:rsidRDefault="00B94E5A" w14:paraId="150710AB" w14:textId="77777777">
      <w:pPr>
        <w:pStyle w:val="Heading1"/>
      </w:pPr>
      <w:bookmarkStart w:name="_Toc6744161" w:id="8"/>
      <w:r>
        <w:t>Accountable Parties</w:t>
      </w:r>
      <w:bookmarkEnd w:id="8"/>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59889AA3">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E839B5">
        <w:t>[insert practice name]</w:t>
      </w:r>
      <w:r w:rsidRPr="00482CBD">
        <w:t>.</w:t>
      </w:r>
      <w:r>
        <w:t xml:space="preserve"> Employees have a contractual and legal obligation to read and comply with all company policies and to attend mandatory training to support the appropriate management of information.</w:t>
      </w:r>
    </w:p>
    <w:p w:rsidRPr="0090114A" w:rsidR="00DC1596" w:rsidP="00DC1596" w:rsidRDefault="00901D8E" w14:paraId="1A533A81" w14:textId="318B011E">
      <w:pPr>
        <w:pStyle w:val="Heading1"/>
      </w:pPr>
      <w:bookmarkStart w:name="_Toc6744162" w:id="9"/>
      <w:bookmarkStart w:name="_Toc503693199" w:id="10"/>
      <w:r>
        <w:t>Background and Requirements</w:t>
      </w:r>
      <w:bookmarkEnd w:id="9"/>
    </w:p>
    <w:p w:rsidRPr="00901D8E" w:rsidR="00901D8E" w:rsidP="00901D8E" w:rsidRDefault="00901D8E" w14:paraId="03305B4D" w14:textId="06CF53C4">
      <w:pPr>
        <w:rPr>
          <w:rFonts w:ascii="Arial" w:hAnsi="Arial"/>
        </w:rPr>
      </w:pPr>
      <w:r>
        <w:t xml:space="preserve">The Freedom of Information Act 2000 (“the Act”) gives anyone the right to make a written request (including an e-mail request) to see information held </w:t>
      </w:r>
      <w:r w:rsidRPr="00A3731C" w:rsidR="0096514F">
        <w:rPr>
          <w:b/>
        </w:rPr>
        <w:t>The Practice</w:t>
      </w:r>
      <w:r w:rsidR="0096514F">
        <w:t>.</w:t>
      </w:r>
    </w:p>
    <w:p w:rsidR="00901D8E" w:rsidP="00901D8E" w:rsidRDefault="00901D8E" w14:paraId="24013663" w14:textId="621E6F65">
      <w:r>
        <w:lastRenderedPageBreak/>
        <w:t xml:space="preserve">If the information is held by </w:t>
      </w:r>
      <w:r w:rsidRPr="00297D26" w:rsidR="0096514F">
        <w:rPr>
          <w:b/>
        </w:rPr>
        <w:t xml:space="preserve">The </w:t>
      </w:r>
      <w:r w:rsidRPr="00A3731C" w:rsidR="0096514F">
        <w:rPr>
          <w:b/>
        </w:rPr>
        <w:t>Practice</w:t>
      </w:r>
      <w:r w:rsidR="0096514F">
        <w:rPr>
          <w:b/>
        </w:rPr>
        <w:t>,</w:t>
      </w:r>
      <w:r w:rsidRPr="00A3731C" w:rsidR="0096514F">
        <w:t xml:space="preserve"> </w:t>
      </w:r>
      <w:r w:rsidRPr="00A3731C">
        <w:t>i</w:t>
      </w:r>
      <w:r>
        <w:t xml:space="preserve">t must be disclosed. Any information can be requested, no matter how old it may be. This includes information contained within a variety of media such as emails, electronic filing systems and paper records. </w:t>
      </w:r>
    </w:p>
    <w:p w:rsidR="00901D8E" w:rsidP="00901D8E" w:rsidRDefault="00901D8E" w14:paraId="002E95BE" w14:textId="66868603">
      <w:r>
        <w:t>Requests do not have to specifically quote or mention the Act, nor do they have to provide a reason for requesting the information.</w:t>
      </w:r>
    </w:p>
    <w:p w:rsidR="00901D8E" w:rsidP="00901D8E" w:rsidRDefault="00901D8E" w14:paraId="16334303" w14:textId="36F08BC8">
      <w:r>
        <w:t xml:space="preserve">Requests are “applicant blind”, meaning </w:t>
      </w:r>
      <w:r w:rsidRPr="0096514F" w:rsidR="0096514F">
        <w:rPr>
          <w:b/>
        </w:rPr>
        <w:t xml:space="preserve"> </w:t>
      </w:r>
      <w:r w:rsidRPr="00297D26" w:rsidR="0096514F">
        <w:rPr>
          <w:b/>
        </w:rPr>
        <w:t>The Practice</w:t>
      </w:r>
      <w:r>
        <w:t xml:space="preserve"> cannot take the identity of the applicant into consideration when releasing the information. An exception to this may be made if the applicant proves vexatious see Appendix A.</w:t>
      </w:r>
    </w:p>
    <w:p w:rsidR="00901D8E" w:rsidP="00901D8E" w:rsidRDefault="0096514F" w14:paraId="3B61412B" w14:textId="1CDBFF94">
      <w:r w:rsidRPr="00297D26">
        <w:rPr>
          <w:b/>
        </w:rPr>
        <w:t>The Practice</w:t>
      </w:r>
      <w:r>
        <w:rPr>
          <w:b/>
        </w:rPr>
        <w:t xml:space="preserve"> </w:t>
      </w:r>
      <w:r w:rsidR="00901D8E">
        <w:t xml:space="preserve">must respond to Freedom of Information requests within 20 working days. If not </w:t>
      </w:r>
      <w:r w:rsidRPr="0096514F">
        <w:rPr>
          <w:b/>
        </w:rPr>
        <w:t xml:space="preserve"> </w:t>
      </w:r>
      <w:r w:rsidRPr="00297D26">
        <w:rPr>
          <w:b/>
        </w:rPr>
        <w:t>The Practice</w:t>
      </w:r>
      <w:r w:rsidR="00CB1C00">
        <w:t xml:space="preserve"> </w:t>
      </w:r>
      <w:r w:rsidR="00901D8E">
        <w:t xml:space="preserve">may be liable for action </w:t>
      </w:r>
      <w:r w:rsidR="00E839B5">
        <w:t>taken by the requestor</w:t>
      </w:r>
      <w:r w:rsidR="00901D8E">
        <w:t xml:space="preserve">. </w:t>
      </w:r>
    </w:p>
    <w:p w:rsidRPr="00901D8E" w:rsidR="00901D8E" w:rsidP="00901D8E" w:rsidRDefault="0096514F" w14:paraId="20D2CAF5" w14:textId="535BEEAB">
      <w:r w:rsidRPr="00297D26">
        <w:rPr>
          <w:b/>
        </w:rPr>
        <w:t>The Practice</w:t>
      </w:r>
      <w:r w:rsidDel="0096514F">
        <w:t xml:space="preserve"> </w:t>
      </w:r>
      <w:r w:rsidR="00901D8E">
        <w:t xml:space="preserve">must provide advice and assistance to everyone who makes a request, including where </w:t>
      </w:r>
      <w:r w:rsidRPr="00297D26">
        <w:rPr>
          <w:b/>
        </w:rPr>
        <w:t>The Practice</w:t>
      </w:r>
      <w:r>
        <w:t xml:space="preserve"> </w:t>
      </w:r>
      <w:r w:rsidR="00901D8E">
        <w:t>do not hold the information, directing the requestor to the party that does hold it, where known.</w:t>
      </w:r>
    </w:p>
    <w:p w:rsidR="00901D8E" w:rsidP="00901D8E" w:rsidRDefault="00901D8E" w14:paraId="51C0E92D" w14:textId="2DA67275">
      <w:r>
        <w:t xml:space="preserve">There are a small number of exemptions provided for under the Act which allow </w:t>
      </w:r>
      <w:r w:rsidRPr="00297D26" w:rsidR="0096514F">
        <w:rPr>
          <w:b/>
        </w:rPr>
        <w:t>The Practice</w:t>
      </w:r>
      <w:r w:rsidR="0096514F">
        <w:rPr>
          <w:b/>
        </w:rPr>
        <w:t xml:space="preserve"> </w:t>
      </w:r>
      <w:r>
        <w:t>to withhold information – see Appendix A.</w:t>
      </w:r>
    </w:p>
    <w:p w:rsidRPr="00901D8E" w:rsidR="00901D8E" w:rsidP="00740DFC" w:rsidRDefault="00901D8E" w14:paraId="611C349A" w14:textId="3B2D1E1A">
      <w:pPr>
        <w:pStyle w:val="Heading1"/>
        <w:jc w:val="both"/>
        <w:rPr>
          <w:rFonts w:ascii="Arial" w:hAnsi="Arial" w:cs="Arial"/>
          <w:sz w:val="22"/>
          <w:szCs w:val="22"/>
        </w:rPr>
      </w:pPr>
      <w:bookmarkStart w:name="_Toc6744163" w:id="11"/>
      <w:r w:rsidRPr="00901D8E">
        <w:t>Requests for Routine Information</w:t>
      </w:r>
      <w:bookmarkEnd w:id="11"/>
      <w:r w:rsidRPr="00901D8E">
        <w:t xml:space="preserve"> </w:t>
      </w:r>
    </w:p>
    <w:p w:rsidR="00901D8E" w:rsidP="00901D8E" w:rsidRDefault="00901D8E" w14:paraId="121ADAEE" w14:textId="51E4B0CB">
      <w:r>
        <w:t xml:space="preserve">If someone requests you for information that you have to hand and normally give out (e.g. an information leaflet, routine letter, etc.), you should continue to do so. These requests do not need to be logged. </w:t>
      </w:r>
    </w:p>
    <w:p w:rsidRPr="00901D8E" w:rsidR="00901D8E" w:rsidP="00901D8E" w:rsidRDefault="00901D8E" w14:paraId="594A1F5A" w14:textId="655772B2">
      <w:pPr>
        <w:pStyle w:val="Heading1"/>
        <w:rPr>
          <w:rFonts w:ascii="Arial" w:hAnsi="Arial"/>
          <w:sz w:val="24"/>
          <w:szCs w:val="28"/>
        </w:rPr>
      </w:pPr>
      <w:bookmarkStart w:name="_Toc6744164" w:id="12"/>
      <w:r>
        <w:t>Requests for Non-Routine Information</w:t>
      </w:r>
      <w:bookmarkEnd w:id="12"/>
      <w:r>
        <w:t xml:space="preserve"> </w:t>
      </w:r>
    </w:p>
    <w:p w:rsidRPr="003604E5" w:rsidR="00901D8E" w:rsidP="003604E5" w:rsidRDefault="00901D8E" w14:paraId="50E815D0" w14:textId="0BFCDC56">
      <w:r>
        <w:t xml:space="preserve">Any employee may be contacted about an FOI request. You should be aware of the correct advice to give them and always refer to the Information Governance Lead to respond. </w:t>
      </w:r>
    </w:p>
    <w:p w:rsidR="00901D8E" w:rsidP="003604E5" w:rsidRDefault="00901D8E" w14:paraId="0C3567B9" w14:textId="7DF44CC3">
      <w:pPr>
        <w:rPr>
          <w:rFonts w:ascii="Arial" w:hAnsi="Arial" w:cs="Arial"/>
        </w:rPr>
      </w:pPr>
      <w:r>
        <w:t xml:space="preserve">If you are aware that the information being requested is available elsewhere, such as on the </w:t>
      </w:r>
      <w:r w:rsidRPr="00297D26" w:rsidR="0096514F">
        <w:rPr>
          <w:b/>
        </w:rPr>
        <w:t>Practice</w:t>
      </w:r>
      <w:r w:rsidDel="0096514F" w:rsidR="0096514F">
        <w:t xml:space="preserve"> </w:t>
      </w:r>
      <w:r>
        <w:t xml:space="preserve">website, you can refer them there. </w:t>
      </w:r>
    </w:p>
    <w:p w:rsidR="00901D8E" w:rsidP="003604E5" w:rsidRDefault="00901D8E" w14:paraId="6DB987B0" w14:textId="19D9CA56">
      <w:pPr>
        <w:rPr>
          <w:rFonts w:ascii="Arial" w:hAnsi="Arial" w:cs="Arial"/>
        </w:rPr>
      </w:pPr>
      <w:r>
        <w:t>If the requestor is unable to use the website, or the information they want is not there, they must make a written request</w:t>
      </w:r>
      <w:r w:rsidR="003604E5">
        <w:t xml:space="preserve"> (this can be email)</w:t>
      </w:r>
      <w:r>
        <w:t>. You should give them the</w:t>
      </w:r>
      <w:r w:rsidR="0096514F">
        <w:t xml:space="preserve"> </w:t>
      </w:r>
      <w:r w:rsidRPr="00A3731C" w:rsidR="0096514F">
        <w:rPr>
          <w:b/>
        </w:rPr>
        <w:t>Practice</w:t>
      </w:r>
      <w:r>
        <w:t xml:space="preserve"> correspondence address</w:t>
      </w:r>
      <w:r w:rsidR="003604E5">
        <w:t xml:space="preserve"> and the name of the </w:t>
      </w:r>
      <w:r w:rsidRPr="00A3731C" w:rsidR="0096514F">
        <w:t>Freedom of Information</w:t>
      </w:r>
      <w:r w:rsidRPr="00A3731C" w:rsidR="003604E5">
        <w:t xml:space="preserve"> Lead</w:t>
      </w:r>
      <w:r w:rsidR="003604E5">
        <w:t>.</w:t>
      </w:r>
    </w:p>
    <w:p w:rsidRPr="003604E5" w:rsidR="00901D8E" w:rsidP="003604E5" w:rsidRDefault="00901D8E" w14:paraId="737C8A6B" w14:textId="622E4BB8">
      <w:r>
        <w:t>Requests must be made in writing. If an applicant attempts to make a request over the telephone, they should be informed how to make their request in writing (see 5.3).</w:t>
      </w:r>
    </w:p>
    <w:p w:rsidRPr="00040113" w:rsidR="00901D8E" w:rsidP="00040113" w:rsidRDefault="00901D8E" w14:paraId="0BD7166F" w14:textId="56E4BDA0">
      <w:r w:rsidRPr="00040113">
        <w:lastRenderedPageBreak/>
        <w:t xml:space="preserve">All requests must contain the applicant’s name and a way of contacting them with </w:t>
      </w:r>
      <w:r w:rsidR="0096514F">
        <w:t xml:space="preserve">The </w:t>
      </w:r>
      <w:r w:rsidRPr="00297D26" w:rsidR="0096514F">
        <w:rPr>
          <w:b/>
        </w:rPr>
        <w:t>Practice</w:t>
      </w:r>
      <w:r w:rsidR="0096514F">
        <w:t xml:space="preserve"> </w:t>
      </w:r>
      <w:r w:rsidRPr="00A3731C" w:rsidR="00E839B5">
        <w:t xml:space="preserve">’s </w:t>
      </w:r>
      <w:r w:rsidRPr="00040113">
        <w:t xml:space="preserve">written response. </w:t>
      </w:r>
    </w:p>
    <w:p w:rsidRPr="00654CFA" w:rsidR="00901D8E" w:rsidP="00654CFA" w:rsidRDefault="00901D8E" w14:paraId="55845D3D" w14:textId="5D481E62">
      <w:pPr>
        <w:pStyle w:val="Heading1"/>
      </w:pPr>
      <w:bookmarkStart w:name="_Toc6744165" w:id="13"/>
      <w:r w:rsidRPr="00654CFA">
        <w:t>Handling Written Requests</w:t>
      </w:r>
      <w:bookmarkEnd w:id="13"/>
      <w:r w:rsidRPr="00654CFA">
        <w:t xml:space="preserve"> </w:t>
      </w:r>
    </w:p>
    <w:p w:rsidRPr="00654CFA" w:rsidR="00901D8E" w:rsidP="00654CFA" w:rsidRDefault="00901D8E" w14:paraId="30C18027" w14:textId="278A3A67">
      <w:r w:rsidRPr="00654CFA">
        <w:t>Because FOI is governed by strict timescales, it is important to refer the request to the</w:t>
      </w:r>
      <w:r w:rsidRPr="00654CFA" w:rsidR="00654CFA">
        <w:t xml:space="preserve"> </w:t>
      </w:r>
      <w:r w:rsidRPr="00654CFA">
        <w:t xml:space="preserve">Information Governance Lead within 24 hours. </w:t>
      </w:r>
    </w:p>
    <w:p w:rsidRPr="00E839B5" w:rsidR="00901D8E" w:rsidP="00654CFA" w:rsidRDefault="00901D8E" w14:paraId="0A5E34B5" w14:textId="71C53A2A">
      <w:r>
        <w:t xml:space="preserve">The date of receipt is the date the request is received at </w:t>
      </w:r>
      <w:r w:rsidR="00654CFA">
        <w:t xml:space="preserve">the </w:t>
      </w:r>
      <w:r w:rsidRPr="00297D26" w:rsidR="0096514F">
        <w:rPr>
          <w:b/>
        </w:rPr>
        <w:t>Practice</w:t>
      </w:r>
      <w:r>
        <w:t xml:space="preserve">, not the date </w:t>
      </w:r>
      <w:r w:rsidRPr="00E839B5">
        <w:t xml:space="preserve">it is passed to the </w:t>
      </w:r>
      <w:r w:rsidR="0096514F">
        <w:t>FOI</w:t>
      </w:r>
      <w:r w:rsidRPr="00E839B5">
        <w:t xml:space="preserve"> Lead</w:t>
      </w:r>
      <w:r w:rsidRPr="00E839B5" w:rsidR="00654CFA">
        <w:t xml:space="preserve"> or third party</w:t>
      </w:r>
      <w:r w:rsidRPr="00E839B5">
        <w:t xml:space="preserve"> so you must act promptly.</w:t>
      </w:r>
    </w:p>
    <w:p w:rsidRPr="00E839B5" w:rsidR="00901D8E" w:rsidP="00654CFA" w:rsidRDefault="00901D8E" w14:paraId="5B18C3BE" w14:textId="6AD2FFC4">
      <w:pPr>
        <w:pStyle w:val="Heading1"/>
      </w:pPr>
      <w:bookmarkStart w:name="_Toc6744166" w:id="14"/>
      <w:r w:rsidRPr="00E839B5">
        <w:t>Supporting the Information Governance Lead</w:t>
      </w:r>
      <w:bookmarkEnd w:id="14"/>
    </w:p>
    <w:p w:rsidR="00901D8E" w:rsidP="00654CFA" w:rsidRDefault="00901D8E" w14:paraId="67770CF0" w14:textId="0D8B9894">
      <w:pPr>
        <w:pStyle w:val="BodyText"/>
      </w:pPr>
      <w:r w:rsidRPr="00E839B5">
        <w:t>Any</w:t>
      </w:r>
      <w:r w:rsidRPr="0096514F" w:rsidR="0096514F">
        <w:rPr>
          <w:b/>
        </w:rPr>
        <w:t xml:space="preserve"> </w:t>
      </w:r>
      <w:r w:rsidRPr="00297D26" w:rsidR="0096514F">
        <w:rPr>
          <w:b/>
        </w:rPr>
        <w:t>Practice</w:t>
      </w:r>
      <w:r w:rsidRPr="00E839B5">
        <w:t xml:space="preserve"> employee may be contacted by the Information Governance Lead </w:t>
      </w:r>
      <w:r>
        <w:t xml:space="preserve">and asked for information regarding a request. If you are asked to provide information in response to a request, please do so as quickly as possible and by the date stated on the request form you have been sent. </w:t>
      </w:r>
    </w:p>
    <w:p w:rsidR="00901D8E" w:rsidP="00654CFA" w:rsidRDefault="00901D8E" w14:paraId="199C9001" w14:textId="3F692FB8">
      <w:pPr>
        <w:jc w:val="both"/>
        <w:rPr>
          <w:rFonts w:ascii="Arial" w:hAnsi="Arial" w:cs="Arial"/>
        </w:rPr>
      </w:pPr>
      <w:r w:rsidRPr="00654CFA">
        <w:rPr>
          <w:rStyle w:val="BodyTextChar"/>
        </w:rPr>
        <w:t xml:space="preserve">If you cannot provide information promptly, tell the </w:t>
      </w:r>
      <w:r w:rsidRPr="00A3731C" w:rsidR="0096514F">
        <w:rPr>
          <w:rStyle w:val="BodyTextChar"/>
        </w:rPr>
        <w:t>FOI</w:t>
      </w:r>
      <w:r w:rsidRPr="00A3731C">
        <w:rPr>
          <w:rStyle w:val="BodyTextChar"/>
        </w:rPr>
        <w:t xml:space="preserve"> Lead </w:t>
      </w:r>
      <w:r w:rsidRPr="00654CFA">
        <w:rPr>
          <w:rStyle w:val="BodyTextChar"/>
        </w:rPr>
        <w:t>as soon as possible as they may need to advise the requestor</w:t>
      </w:r>
      <w:r>
        <w:rPr>
          <w:rFonts w:ascii="Arial" w:hAnsi="Arial" w:cs="Arial"/>
        </w:rPr>
        <w:t xml:space="preserve"> </w:t>
      </w:r>
    </w:p>
    <w:p w:rsidR="00901D8E" w:rsidP="00654CFA" w:rsidRDefault="00901D8E" w14:paraId="264D36CE" w14:textId="6772757A">
      <w:pPr>
        <w:rPr>
          <w:rFonts w:ascii="Arial" w:hAnsi="Arial" w:cs="Arial"/>
        </w:rPr>
      </w:pPr>
      <w:r w:rsidRPr="00654CFA">
        <w:t xml:space="preserve">Under section 16 of the Act, </w:t>
      </w:r>
      <w:r w:rsidRPr="0096514F" w:rsidR="0096514F">
        <w:rPr>
          <w:b/>
        </w:rPr>
        <w:t xml:space="preserve"> </w:t>
      </w:r>
      <w:r w:rsidR="0096514F">
        <w:rPr>
          <w:b/>
        </w:rPr>
        <w:t xml:space="preserve">The </w:t>
      </w:r>
      <w:r w:rsidRPr="00297D26" w:rsidR="0096514F">
        <w:rPr>
          <w:b/>
        </w:rPr>
        <w:t>Practice</w:t>
      </w:r>
      <w:r w:rsidR="00654CFA">
        <w:t xml:space="preserve"> </w:t>
      </w:r>
      <w:r w:rsidRPr="00654CFA">
        <w:t>has a duty to provide advice and assistance to</w:t>
      </w:r>
      <w:r w:rsidR="00654CFA">
        <w:t xml:space="preserve"> </w:t>
      </w:r>
      <w:r w:rsidRPr="00654CFA">
        <w:t xml:space="preserve">applicants. </w:t>
      </w:r>
      <w:r w:rsidR="0096514F">
        <w:t xml:space="preserve">The </w:t>
      </w:r>
      <w:r w:rsidRPr="00297D26" w:rsidR="0096514F">
        <w:rPr>
          <w:b/>
        </w:rPr>
        <w:t>Practice</w:t>
      </w:r>
      <w:r w:rsidRPr="00654CFA">
        <w:t xml:space="preserve"> will </w:t>
      </w:r>
      <w:r w:rsidRPr="00E839B5">
        <w:t xml:space="preserve">ensure it meets the duty of </w:t>
      </w:r>
      <w:r w:rsidR="00E839B5">
        <w:t xml:space="preserve">providing </w:t>
      </w:r>
      <w:r w:rsidRPr="00E839B5">
        <w:t>advice and assistance,</w:t>
      </w:r>
      <w:r w:rsidRPr="00654CFA">
        <w:t xml:space="preserve"> so far as it would be reasonable to expect </w:t>
      </w:r>
      <w:r w:rsidR="0096514F">
        <w:t>The</w:t>
      </w:r>
      <w:r w:rsidRPr="0096514F" w:rsidR="0096514F">
        <w:rPr>
          <w:b/>
        </w:rPr>
        <w:t xml:space="preserve"> </w:t>
      </w:r>
      <w:r w:rsidRPr="00297D26" w:rsidR="0096514F">
        <w:rPr>
          <w:b/>
        </w:rPr>
        <w:t>Practice</w:t>
      </w:r>
      <w:r w:rsidR="00654CFA">
        <w:t xml:space="preserve"> </w:t>
      </w:r>
      <w:r w:rsidRPr="00654CFA">
        <w:t xml:space="preserve">to do so. If you cannot provide the exact information asked for, you may be able to suggest an alternative. You should discuss this with the </w:t>
      </w:r>
      <w:r w:rsidRPr="00A3731C" w:rsidR="0096514F">
        <w:t>FOI</w:t>
      </w:r>
      <w:r w:rsidRPr="00A3731C">
        <w:t xml:space="preserve"> Lead</w:t>
      </w:r>
      <w:r w:rsidR="00654CFA">
        <w:t>.</w:t>
      </w:r>
    </w:p>
    <w:p w:rsidR="00901D8E" w:rsidP="00654CFA" w:rsidRDefault="00901D8E" w14:paraId="504CB0C4" w14:textId="33591720">
      <w:r>
        <w:t xml:space="preserve">If we do not hold the information within </w:t>
      </w:r>
      <w:r w:rsidR="0096514F">
        <w:t xml:space="preserve">the </w:t>
      </w:r>
      <w:r w:rsidRPr="00297D26" w:rsidR="0096514F">
        <w:rPr>
          <w:b/>
        </w:rPr>
        <w:t>Practice</w:t>
      </w:r>
      <w:r>
        <w:t xml:space="preserve">, but you know which </w:t>
      </w:r>
      <w:r w:rsidR="00654CFA">
        <w:t>organisation</w:t>
      </w:r>
      <w:r>
        <w:t xml:space="preserve"> does hold the information (ie, </w:t>
      </w:r>
      <w:r w:rsidR="00654CFA">
        <w:t>a</w:t>
      </w:r>
      <w:r>
        <w:t xml:space="preserve"> Trust, the council, etc) you should inform the </w:t>
      </w:r>
      <w:r w:rsidRPr="00A3731C" w:rsidR="0096514F">
        <w:t>FOI</w:t>
      </w:r>
      <w:r w:rsidRPr="00A3731C">
        <w:t xml:space="preserve"> Lead</w:t>
      </w:r>
      <w:r w:rsidRPr="00A3731C" w:rsidR="00654CFA">
        <w:t xml:space="preserve"> </w:t>
      </w:r>
      <w:r>
        <w:t xml:space="preserve">as this part of the request may be able to be transferred. </w:t>
      </w:r>
    </w:p>
    <w:p w:rsidRPr="00654CFA" w:rsidR="00901D8E" w:rsidP="00654CFA" w:rsidRDefault="00901D8E" w14:paraId="29263808" w14:textId="10E18FA8">
      <w:pPr>
        <w:pStyle w:val="Heading1"/>
      </w:pPr>
      <w:bookmarkStart w:name="_Toc6744167" w:id="15"/>
      <w:r w:rsidRPr="00654CFA">
        <w:t xml:space="preserve">Transferring a </w:t>
      </w:r>
      <w:r w:rsidR="00654CFA">
        <w:t>R</w:t>
      </w:r>
      <w:r w:rsidRPr="00654CFA">
        <w:t>equest</w:t>
      </w:r>
      <w:bookmarkEnd w:id="15"/>
      <w:r w:rsidRPr="00654CFA">
        <w:t xml:space="preserve"> </w:t>
      </w:r>
    </w:p>
    <w:p w:rsidRPr="00E839B5" w:rsidR="00901D8E" w:rsidP="00654CFA" w:rsidRDefault="00901D8E" w14:paraId="4E4F9FA5" w14:textId="7BD8FF69">
      <w:r w:rsidRPr="00E839B5">
        <w:t xml:space="preserve">This will be done by the </w:t>
      </w:r>
      <w:r w:rsidRPr="00297D26" w:rsidR="0096514F">
        <w:t>FOI Lead</w:t>
      </w:r>
      <w:r w:rsidRPr="00E839B5">
        <w:t xml:space="preserve">. </w:t>
      </w:r>
    </w:p>
    <w:p w:rsidR="00901D8E" w:rsidP="00654CFA" w:rsidRDefault="00901D8E" w14:paraId="6F877F7A" w14:textId="2141C9D6">
      <w:r w:rsidRPr="00E839B5">
        <w:t xml:space="preserve">If the </w:t>
      </w:r>
      <w:r w:rsidRPr="00297D26" w:rsidR="0096514F">
        <w:rPr>
          <w:b/>
        </w:rPr>
        <w:t>Practice</w:t>
      </w:r>
      <w:r w:rsidRPr="00E839B5">
        <w:t xml:space="preserve"> receives a request for information which it does not hold, within the meaning of section 3(2) of the Act, the </w:t>
      </w:r>
      <w:r w:rsidRPr="00A3731C" w:rsidR="0096514F">
        <w:t>FOI</w:t>
      </w:r>
      <w:r w:rsidRPr="00A3731C">
        <w:t xml:space="preserve"> Lead</w:t>
      </w:r>
      <w:r w:rsidRPr="00E839B5">
        <w:t xml:space="preserve"> will transfer the request and advise the applicant that it does not hold part, or all, of the requested information.</w:t>
      </w:r>
      <w:r>
        <w:t xml:space="preserve"> </w:t>
      </w:r>
    </w:p>
    <w:p w:rsidRPr="00654CFA" w:rsidR="00901D8E" w:rsidP="00654CFA" w:rsidRDefault="00901D8E" w14:paraId="70D3195C" w14:textId="6BD007A7">
      <w:pPr>
        <w:pStyle w:val="Heading1"/>
      </w:pPr>
      <w:bookmarkStart w:name="_Toc6744168" w:id="16"/>
      <w:r w:rsidRPr="00654CFA">
        <w:lastRenderedPageBreak/>
        <w:t>Processing a Request</w:t>
      </w:r>
      <w:bookmarkEnd w:id="16"/>
    </w:p>
    <w:p w:rsidR="00901D8E" w:rsidP="00654CFA" w:rsidRDefault="00901D8E" w14:paraId="009F37D8" w14:textId="73E8DE39">
      <w:pPr>
        <w:rPr>
          <w:rFonts w:ascii="Arial" w:hAnsi="Arial" w:cs="Arial"/>
        </w:rPr>
      </w:pPr>
      <w:r w:rsidRPr="00E839B5">
        <w:t xml:space="preserve">If the information is not available through the publication scheme, and the </w:t>
      </w:r>
      <w:r w:rsidRPr="00A3731C" w:rsidR="0096514F">
        <w:t>FOI</w:t>
      </w:r>
      <w:r w:rsidRPr="00A3731C">
        <w:t xml:space="preserve"> Lead </w:t>
      </w:r>
      <w:r w:rsidRPr="00E839B5">
        <w:t>does not already hold the information, the request will be passed to the relevant department to locate and provide the information requested.</w:t>
      </w:r>
      <w:r>
        <w:rPr>
          <w:rFonts w:ascii="Arial" w:hAnsi="Arial" w:cs="Arial"/>
        </w:rPr>
        <w:t xml:space="preserve"> </w:t>
      </w:r>
    </w:p>
    <w:p w:rsidRPr="00654CFA" w:rsidR="00901D8E" w:rsidP="00654CFA" w:rsidRDefault="00901D8E" w14:paraId="3BB67CF8" w14:textId="2AD8BC35">
      <w:r>
        <w:t>If the information is not exempt, it will be collated, removal of Personal</w:t>
      </w:r>
      <w:r w:rsidR="00654CFA">
        <w:t xml:space="preserve"> Confidential</w:t>
      </w:r>
      <w:r>
        <w:t xml:space="preserve"> Data will be undertaken and the final response will be sent to the requestor within 20 working days of receipt. </w:t>
      </w:r>
    </w:p>
    <w:p w:rsidR="00901D8E" w:rsidP="004D06A6" w:rsidRDefault="00901D8E" w14:paraId="0725A692" w14:textId="3B93ECE6">
      <w:pPr>
        <w:jc w:val="both"/>
        <w:rPr>
          <w:rFonts w:ascii="Arial" w:hAnsi="Arial" w:cs="Arial"/>
        </w:rPr>
      </w:pPr>
      <w:r w:rsidRPr="00654CFA">
        <w:t xml:space="preserve">If the information is exempt from disclosure, the applicant will be informed (in writing) which exemption applies. They will be given the right to appeal </w:t>
      </w:r>
      <w:r w:rsidR="00644921">
        <w:t xml:space="preserve">the </w:t>
      </w:r>
      <w:r w:rsidRPr="00654CFA">
        <w:t>decision.</w:t>
      </w:r>
      <w:r w:rsidRPr="00654CFA">
        <w:tab/>
      </w:r>
    </w:p>
    <w:p w:rsidR="00901D8E" w:rsidP="00654CFA" w:rsidRDefault="00901D8E" w14:paraId="5BBCE880" w14:textId="2E18FF59">
      <w:r w:rsidRPr="004D06A6">
        <w:t xml:space="preserve">If the applicant is requesting a copy of their own health records they will be informed that their request is exempt under Section 40(1) of the Act, and advised how to make a Subject Access Request under the </w:t>
      </w:r>
      <w:r w:rsidRPr="004D06A6" w:rsidR="00654CFA">
        <w:t>Information Rights and Access Protocol.</w:t>
      </w:r>
      <w:r>
        <w:t xml:space="preserve"> </w:t>
      </w:r>
    </w:p>
    <w:p w:rsidR="00901D8E" w:rsidP="00654CFA" w:rsidRDefault="00901D8E" w14:paraId="51D6B99E" w14:textId="47A2157C">
      <w:r>
        <w:t xml:space="preserve">Where the use of a qualified exemption is proposed, a Public Interest Test will be completed and approved by the </w:t>
      </w:r>
      <w:r w:rsidRPr="00A3731C" w:rsidR="0096514F">
        <w:t>FOI</w:t>
      </w:r>
      <w:r w:rsidRPr="00A3731C" w:rsidR="00F036D2">
        <w:t xml:space="preserve"> Lead</w:t>
      </w:r>
      <w:r w:rsidRPr="00A3731C" w:rsidR="004D06A6">
        <w:t>.</w:t>
      </w:r>
    </w:p>
    <w:p w:rsidR="00901D8E" w:rsidP="00654CFA" w:rsidRDefault="00901D8E" w14:paraId="359BB259" w14:textId="10473F5C">
      <w:r>
        <w:t xml:space="preserve">Consultation on the use of a qualified exemption must take place and be communicated to the requestor within the 20-working time limit.  </w:t>
      </w:r>
    </w:p>
    <w:p w:rsidR="00901D8E" w:rsidP="00F036D2" w:rsidRDefault="00901D8E" w14:paraId="2D48C834" w14:textId="46777D7E">
      <w:pPr>
        <w:pStyle w:val="Heading1"/>
      </w:pPr>
      <w:bookmarkStart w:name="_Toc6744169" w:id="17"/>
      <w:r w:rsidRPr="00F036D2">
        <w:t>Charges and Fees</w:t>
      </w:r>
      <w:bookmarkEnd w:id="17"/>
      <w:r w:rsidRPr="00F036D2">
        <w:t xml:space="preserve"> </w:t>
      </w:r>
    </w:p>
    <w:p w:rsidRPr="004D06A6" w:rsidR="00901D8E" w:rsidP="00F036D2" w:rsidRDefault="00901D8E" w14:paraId="00667ACC" w14:textId="65C4F7D4">
      <w:r w:rsidRPr="004D06A6">
        <w:t xml:space="preserve">Information </w:t>
      </w:r>
      <w:r w:rsidR="00CB1C00">
        <w:t>o</w:t>
      </w:r>
      <w:r w:rsidRPr="004D06A6">
        <w:t xml:space="preserve">n </w:t>
      </w:r>
      <w:r w:rsidRPr="00A3731C" w:rsidR="0096514F">
        <w:rPr>
          <w:b/>
        </w:rPr>
        <w:t>The Practice</w:t>
      </w:r>
      <w:r w:rsidRPr="004D06A6">
        <w:t xml:space="preserve"> website is available to view online or download free of charge. </w:t>
      </w:r>
    </w:p>
    <w:p w:rsidR="00901D8E" w:rsidP="00F036D2" w:rsidRDefault="00901D8E" w14:paraId="768185D3" w14:textId="092EF617">
      <w:r w:rsidRPr="004D06A6">
        <w:t>Charges may be levied for hard copies of requested information, multiple copies, or copying onto media such as a CD-ROM. Charges will be in accordance with the Freedom of Information and Data Protection (Appropriate Limit and Fees) Regulations 2004.</w:t>
      </w:r>
      <w:r>
        <w:t xml:space="preserve"> </w:t>
      </w:r>
    </w:p>
    <w:p w:rsidRPr="00F036D2" w:rsidR="00901D8E" w:rsidP="00F036D2" w:rsidRDefault="00901D8E" w14:paraId="61F7E5D0" w14:textId="04B7A67F">
      <w:pPr>
        <w:pStyle w:val="Heading1"/>
      </w:pPr>
      <w:bookmarkStart w:name="_Toc6744170" w:id="18"/>
      <w:r w:rsidRPr="00F036D2">
        <w:t>Information Media</w:t>
      </w:r>
      <w:bookmarkEnd w:id="18"/>
    </w:p>
    <w:p w:rsidR="00901D8E" w:rsidP="00F036D2" w:rsidRDefault="00901D8E" w14:paraId="5248E883" w14:textId="147AFAA1">
      <w:r>
        <w:t xml:space="preserve">If a requestor asks for information in a specified format, this will be met where practicable. </w:t>
      </w:r>
    </w:p>
    <w:p w:rsidRPr="00F036D2" w:rsidR="00901D8E" w:rsidP="00F036D2" w:rsidRDefault="00901D8E" w14:paraId="520CDC9B" w14:textId="661D1113">
      <w:pPr>
        <w:pStyle w:val="Heading1"/>
      </w:pPr>
      <w:bookmarkStart w:name="_Toc6744171" w:id="19"/>
      <w:r w:rsidRPr="00F036D2">
        <w:t>Appeals</w:t>
      </w:r>
      <w:bookmarkEnd w:id="19"/>
    </w:p>
    <w:p w:rsidR="00901D8E" w:rsidP="00A3731C" w:rsidRDefault="00901D8E" w14:paraId="0D74289F" w14:textId="2332D075">
      <w:pPr>
        <w:rPr>
          <w:rFonts w:ascii="Arial" w:hAnsi="Arial" w:cs="Arial"/>
        </w:rPr>
      </w:pPr>
      <w:r w:rsidRPr="004D06A6">
        <w:t>If a requestor wishes to appeal they should write</w:t>
      </w:r>
      <w:r w:rsidR="0096514F">
        <w:t xml:space="preserve"> or email</w:t>
      </w:r>
      <w:r w:rsidRPr="004D06A6">
        <w:t xml:space="preserve"> to</w:t>
      </w:r>
      <w:r w:rsidR="0096514F">
        <w:t xml:space="preserve"> </w:t>
      </w:r>
      <w:r w:rsidRPr="00297D26" w:rsidR="0096514F">
        <w:rPr>
          <w:b/>
        </w:rPr>
        <w:t>The Practice</w:t>
      </w:r>
      <w:r w:rsidR="0096514F">
        <w:t>.</w:t>
      </w:r>
    </w:p>
    <w:p w:rsidR="00901D8E" w:rsidP="00F036D2" w:rsidRDefault="00901D8E" w14:paraId="3C471C47" w14:textId="148D49A5">
      <w:r>
        <w:t xml:space="preserve">If, after the requestor has appealed to </w:t>
      </w:r>
      <w:r w:rsidRPr="00297D26" w:rsidR="0096514F">
        <w:rPr>
          <w:b/>
        </w:rPr>
        <w:t>The Practice</w:t>
      </w:r>
      <w:r>
        <w:t xml:space="preserve">, they are still not satisfied they may appeal to the FOI/ EIR Case Reception Unit, Information Commissioner’s Office, Wycliffe House, Water Lane, Wilmslow, Cheshire, SK9 5AF. </w:t>
      </w:r>
    </w:p>
    <w:p w:rsidR="00901D8E" w:rsidP="00F036D2" w:rsidRDefault="00901D8E" w14:paraId="0F149255" w14:textId="77777777">
      <w:pPr>
        <w:pStyle w:val="Heading1"/>
        <w:numPr>
          <w:ilvl w:val="0"/>
          <w:numId w:val="0"/>
        </w:numPr>
        <w:rPr>
          <w:rFonts w:ascii="Arial" w:hAnsi="Arial"/>
          <w:sz w:val="24"/>
          <w:szCs w:val="28"/>
        </w:rPr>
      </w:pPr>
      <w:bookmarkStart w:name="_Toc6744172" w:id="20"/>
      <w:r>
        <w:lastRenderedPageBreak/>
        <w:t>Appendix A – Exemptions</w:t>
      </w:r>
      <w:bookmarkEnd w:id="20"/>
    </w:p>
    <w:p w:rsidR="00901D8E" w:rsidP="00901D8E" w:rsidRDefault="00901D8E" w14:paraId="309DB313" w14:textId="77777777">
      <w:pPr>
        <w:pStyle w:val="NormalWeb"/>
        <w:shd w:val="clear" w:color="auto" w:fill="FFFFFF"/>
        <w:spacing w:before="0" w:beforeAutospacing="0" w:after="315" w:afterAutospacing="0" w:line="315" w:lineRule="atLeast"/>
        <w:rPr>
          <w:rFonts w:ascii="Arial" w:hAnsi="Arial" w:cs="Arial"/>
          <w:color w:val="222222"/>
          <w:szCs w:val="22"/>
        </w:rPr>
      </w:pPr>
      <w:r>
        <w:rPr>
          <w:rStyle w:val="Strong"/>
          <w:rFonts w:ascii="Arial" w:hAnsi="Arial" w:cs="Arial"/>
          <w:color w:val="222222"/>
          <w:szCs w:val="22"/>
        </w:rPr>
        <w:t>FOI Absolute Exemptions</w:t>
      </w:r>
    </w:p>
    <w:p w:rsidR="00901D8E" w:rsidP="00F036D2" w:rsidRDefault="00901D8E" w14:paraId="2CEBACB5" w14:textId="77777777">
      <w:r>
        <w:t>Section 21 – Information accessible by other means (this often means it is already in the public domain, in which case the authority is obliged to direct you to where it is held.)</w:t>
      </w:r>
    </w:p>
    <w:p w:rsidR="00901D8E" w:rsidP="00F036D2" w:rsidRDefault="00901D8E" w14:paraId="684D5632" w14:textId="77777777">
      <w:r>
        <w:t>Section 23 – National Security – Information supplied by, or relating to, bodies dealing with security matters (a certificate signed by a Minister of the Crown is conclusive proof that the exemption is justified. There is a separate appeals mechanism against such certificates)</w:t>
      </w:r>
    </w:p>
    <w:p w:rsidR="00901D8E" w:rsidP="00F036D2" w:rsidRDefault="00901D8E" w14:paraId="79F0B013" w14:textId="77777777">
      <w:r>
        <w:t>Section 32 – Court Records</w:t>
      </w:r>
    </w:p>
    <w:p w:rsidR="00901D8E" w:rsidP="00F036D2" w:rsidRDefault="00901D8E" w14:paraId="219FC908" w14:textId="77777777">
      <w:r>
        <w:t>Section 34 – Parliamentary Privilege – a certificate signed by the Speaker of the House, in respect of the House of Commons, or by the Clerk of the Parliament, in respect of the House of Lords is conclusive proof that the exemption is justified.</w:t>
      </w:r>
    </w:p>
    <w:p w:rsidR="00901D8E" w:rsidP="00F036D2" w:rsidRDefault="00901D8E" w14:paraId="09F002C3" w14:textId="77777777">
      <w:r>
        <w:t>Section 36 – Effective Conduct of Public Affairs – so far as relating to information held by the House of Commons or the House of Lords</w:t>
      </w:r>
    </w:p>
    <w:p w:rsidR="00901D8E" w:rsidP="00F036D2" w:rsidRDefault="00901D8E" w14:paraId="57A6B7EC" w14:textId="77777777">
      <w:r>
        <w:t>Section 40: Personal Information – where the applicant is the subject of the information. The applicant already has the right of ‘subject access’ under the Data Protection Act 1998; where the information concerns a third party and disclosure would breach one of the data protection principles</w:t>
      </w:r>
    </w:p>
    <w:p w:rsidR="00901D8E" w:rsidP="00F036D2" w:rsidRDefault="00901D8E" w14:paraId="31EAC4B5" w14:textId="77777777">
      <w:r>
        <w:t>Section 41 – Information provided ‘In Confidence’</w:t>
      </w:r>
    </w:p>
    <w:p w:rsidR="00901D8E" w:rsidP="00F036D2" w:rsidRDefault="00901D8E" w14:paraId="168923C8" w14:textId="77777777">
      <w:r>
        <w:t>Section 44 – Prohibitions on disclosure – where a disclosure is prohibited by an enactment or would constitute contempt of court.</w:t>
      </w:r>
    </w:p>
    <w:p w:rsidR="00901D8E" w:rsidP="00F036D2" w:rsidRDefault="00901D8E" w14:paraId="262E62D6" w14:textId="77777777"/>
    <w:p w:rsidR="00901D8E" w:rsidP="00F036D2" w:rsidRDefault="00901D8E" w14:paraId="5C92618A" w14:textId="77777777">
      <w:r>
        <w:rPr>
          <w:b/>
          <w:bCs/>
        </w:rPr>
        <w:t>FOI – QUALIFIED EXEMPTIONS</w:t>
      </w:r>
    </w:p>
    <w:p w:rsidR="00901D8E" w:rsidP="00F036D2" w:rsidRDefault="00901D8E" w14:paraId="76B4D501" w14:textId="77777777">
      <w:r>
        <w:t>Exemptions where the public interest test applies:</w:t>
      </w:r>
    </w:p>
    <w:p w:rsidR="00901D8E" w:rsidP="00F036D2" w:rsidRDefault="00901D8E" w14:paraId="125C7A75" w14:textId="77777777">
      <w:r>
        <w:t>Section 22: Information Intended For Future Publication Exemption</w:t>
      </w:r>
    </w:p>
    <w:p w:rsidR="00901D8E" w:rsidP="00F036D2" w:rsidRDefault="00901D8E" w14:paraId="00D28DFC" w14:textId="77777777">
      <w:r>
        <w:t>Section 24: National security (other than information supplied by or relating to named security organisations, where the duty to consider disclosure in the public interest does not apply)</w:t>
      </w:r>
    </w:p>
    <w:p w:rsidR="00901D8E" w:rsidP="00F036D2" w:rsidRDefault="00901D8E" w14:paraId="289DA7DB" w14:textId="77777777">
      <w:r>
        <w:t>Section 26: Defence</w:t>
      </w:r>
    </w:p>
    <w:p w:rsidR="00901D8E" w:rsidP="00F036D2" w:rsidRDefault="00901D8E" w14:paraId="433D55F3" w14:textId="77777777">
      <w:r>
        <w:lastRenderedPageBreak/>
        <w:t>Section 27: International relations</w:t>
      </w:r>
    </w:p>
    <w:p w:rsidR="00901D8E" w:rsidP="00F036D2" w:rsidRDefault="00901D8E" w14:paraId="23172502" w14:textId="77777777">
      <w:r>
        <w:t>Section 28: Relations within the United Kingdom</w:t>
      </w:r>
    </w:p>
    <w:p w:rsidR="00901D8E" w:rsidP="00F036D2" w:rsidRDefault="00901D8E" w14:paraId="49F371BA" w14:textId="77777777">
      <w:r>
        <w:t>Section 29: UK Economic Interests</w:t>
      </w:r>
    </w:p>
    <w:p w:rsidR="00901D8E" w:rsidP="00F036D2" w:rsidRDefault="00901D8E" w14:paraId="1B5EC8A9" w14:textId="0B4EF1D2">
      <w:r>
        <w:t xml:space="preserve">Section 30: Investigations </w:t>
      </w:r>
      <w:r w:rsidR="0096514F">
        <w:t>and</w:t>
      </w:r>
      <w:r>
        <w:t xml:space="preserve"> Proceedings Conducted By Public Authorities</w:t>
      </w:r>
    </w:p>
    <w:p w:rsidR="00901D8E" w:rsidP="00F036D2" w:rsidRDefault="00901D8E" w14:paraId="1E44B7F0" w14:textId="77777777">
      <w:r>
        <w:t>Section 31: Law Enforcement</w:t>
      </w:r>
    </w:p>
    <w:p w:rsidR="00901D8E" w:rsidP="00F036D2" w:rsidRDefault="00901D8E" w14:paraId="4D514309" w14:textId="77777777">
      <w:r>
        <w:t>Section 33: Audit Functions</w:t>
      </w:r>
    </w:p>
    <w:p w:rsidR="00901D8E" w:rsidP="00F036D2" w:rsidRDefault="00901D8E" w14:paraId="418589BC" w14:textId="77777777">
      <w:r>
        <w:t>Section 35: Formulation of government policy and Ministerial Communications</w:t>
      </w:r>
    </w:p>
    <w:p w:rsidR="00901D8E" w:rsidP="00F036D2" w:rsidRDefault="00901D8E" w14:paraId="3B01C67E" w14:textId="77777777">
      <w:r>
        <w:t>Section 36: Prejudice to effective conduct of public affairs (except information held by the House of Commons or the House of Lords)</w:t>
      </w:r>
    </w:p>
    <w:p w:rsidR="00901D8E" w:rsidP="00F036D2" w:rsidRDefault="00901D8E" w14:paraId="4E289768" w14:textId="77777777">
      <w:r>
        <w:t>Section 37: Communications with Her Majesty, the Royal Family or concerning honours</w:t>
      </w:r>
    </w:p>
    <w:p w:rsidR="00901D8E" w:rsidP="00F036D2" w:rsidRDefault="00901D8E" w14:paraId="06453D23" w14:textId="38DE4D2B">
      <w:r>
        <w:t xml:space="preserve">Section 38: Health </w:t>
      </w:r>
      <w:r w:rsidR="00F036D2">
        <w:t>a</w:t>
      </w:r>
      <w:r>
        <w:t>nd Safety</w:t>
      </w:r>
    </w:p>
    <w:p w:rsidR="00901D8E" w:rsidP="00F036D2" w:rsidRDefault="00901D8E" w14:paraId="29471EB7" w14:textId="77777777">
      <w:r>
        <w:t>Section 39: Environmental Information – as this can be accessed through the Environmental Information Regulations</w:t>
      </w:r>
    </w:p>
    <w:p w:rsidR="00901D8E" w:rsidP="00F036D2" w:rsidRDefault="00901D8E" w14:paraId="28721265" w14:textId="6E9FC593">
      <w:r>
        <w:t xml:space="preserve">Section 40: Personal information relating to a </w:t>
      </w:r>
      <w:r w:rsidR="0096514F">
        <w:t>third-party</w:t>
      </w:r>
      <w:r>
        <w:t xml:space="preserve"> access request</w:t>
      </w:r>
    </w:p>
    <w:p w:rsidR="00901D8E" w:rsidP="00F036D2" w:rsidRDefault="00901D8E" w14:paraId="3B388435" w14:textId="77777777">
      <w:r>
        <w:t>Section 42: Legal Professional Privilege</w:t>
      </w:r>
    </w:p>
    <w:p w:rsidR="00901D8E" w:rsidP="00F036D2" w:rsidRDefault="00901D8E" w14:paraId="0234C517" w14:textId="77777777">
      <w:r>
        <w:t>Section 43: Commercial Interests</w:t>
      </w:r>
    </w:p>
    <w:p w:rsidRPr="00CB323E" w:rsidR="00213805" w:rsidP="00C04132" w:rsidRDefault="009B627D" w14:paraId="2E942C77" w14:textId="32068D3B">
      <w:pPr>
        <w:pStyle w:val="Heading1"/>
      </w:pPr>
      <w:bookmarkStart w:name="_Toc6744173" w:id="21"/>
      <w:r>
        <w:t>I</w:t>
      </w:r>
      <w:r w:rsidRPr="00CB323E" w:rsidR="00213805">
        <w:t>nformation Incidents</w:t>
      </w:r>
      <w:bookmarkEnd w:id="10"/>
      <w:bookmarkEnd w:id="21"/>
    </w:p>
    <w:p w:rsidRPr="00CB323E" w:rsidR="00CE07F3" w:rsidP="00CB323E" w:rsidRDefault="00213805" w14:paraId="2EC48872" w14:textId="6E7A2778">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rsidR="00B94E5A" w:rsidP="00CB323E" w:rsidRDefault="00B94E5A" w14:paraId="4B17320F" w14:textId="38D1C7B8">
      <w:pPr>
        <w:pStyle w:val="Heading1"/>
      </w:pPr>
      <w:bookmarkStart w:name="_Toc6744174" w:id="22"/>
      <w:r>
        <w:t>Associated Protocols</w:t>
      </w:r>
      <w:bookmarkEnd w:id="22"/>
    </w:p>
    <w:p w:rsidR="00AF1E4C" w:rsidP="00AF1E4C" w:rsidRDefault="00AF1E4C" w14:paraId="62E7ABFE" w14:textId="711B446F">
      <w:r>
        <w:t xml:space="preserve">This </w:t>
      </w:r>
      <w:r w:rsidR="009B627D">
        <w:t>protocol</w:t>
      </w:r>
      <w:r>
        <w:t xml:space="preserve"> should be read in conjunction with;</w:t>
      </w:r>
    </w:p>
    <w:p w:rsidR="00224093" w:rsidP="00224093" w:rsidRDefault="00224093" w14:paraId="6861C2ED" w14:textId="77777777">
      <w:pPr>
        <w:pStyle w:val="ListParagraph"/>
        <w:numPr>
          <w:ilvl w:val="0"/>
          <w:numId w:val="2"/>
        </w:numPr>
      </w:pPr>
      <w:r>
        <w:t>Risk Management Policy</w:t>
      </w:r>
    </w:p>
    <w:p w:rsidR="00224093" w:rsidP="00224093" w:rsidRDefault="00224093" w14:paraId="097FFA55" w14:textId="77777777">
      <w:pPr>
        <w:pStyle w:val="ListParagraph"/>
        <w:numPr>
          <w:ilvl w:val="0"/>
          <w:numId w:val="2"/>
        </w:numPr>
      </w:pPr>
      <w:r>
        <w:t>Change Management Policy</w:t>
      </w:r>
    </w:p>
    <w:p w:rsidR="00224093" w:rsidP="00224093" w:rsidRDefault="00224093" w14:paraId="0DB34881" w14:textId="77777777">
      <w:pPr>
        <w:pStyle w:val="ListParagraph"/>
        <w:numPr>
          <w:ilvl w:val="0"/>
          <w:numId w:val="2"/>
        </w:numPr>
      </w:pPr>
      <w:r>
        <w:t>Information Governance Policy</w:t>
      </w:r>
    </w:p>
    <w:p w:rsidR="00224093" w:rsidP="00224093" w:rsidRDefault="00224093" w14:paraId="31F12420" w14:textId="77777777">
      <w:pPr>
        <w:pStyle w:val="ListParagraph"/>
        <w:numPr>
          <w:ilvl w:val="0"/>
          <w:numId w:val="2"/>
        </w:numPr>
      </w:pPr>
      <w:r>
        <w:t>Information Rights and Access Protocol</w:t>
      </w:r>
    </w:p>
    <w:p w:rsidR="00224093" w:rsidP="00224093" w:rsidRDefault="00224093" w14:paraId="0B03C05C" w14:textId="77777777">
      <w:pPr>
        <w:pStyle w:val="ListParagraph"/>
        <w:numPr>
          <w:ilvl w:val="0"/>
          <w:numId w:val="2"/>
        </w:numPr>
      </w:pPr>
      <w:r>
        <w:t>Information Sharing and Privacy Protocol</w:t>
      </w:r>
    </w:p>
    <w:p w:rsidR="00224093" w:rsidP="00224093" w:rsidRDefault="00224093" w14:paraId="29F75002" w14:textId="77777777">
      <w:pPr>
        <w:pStyle w:val="ListParagraph"/>
        <w:numPr>
          <w:ilvl w:val="0"/>
          <w:numId w:val="2"/>
        </w:numPr>
      </w:pPr>
      <w:r>
        <w:lastRenderedPageBreak/>
        <w:t>Information Lifecycle and Data Quality Protocol</w:t>
      </w:r>
    </w:p>
    <w:p w:rsidR="00224093" w:rsidP="00224093" w:rsidRDefault="00224093" w14:paraId="0FC51440" w14:textId="77777777">
      <w:pPr>
        <w:pStyle w:val="ListParagraph"/>
        <w:numPr>
          <w:ilvl w:val="0"/>
          <w:numId w:val="2"/>
        </w:numPr>
      </w:pPr>
      <w:r>
        <w:t>Information / Cyber Security Protocol</w:t>
      </w:r>
    </w:p>
    <w:p w:rsidR="00224093" w:rsidP="00224093" w:rsidRDefault="00224093" w14:paraId="16A6A595" w14:textId="77777777">
      <w:pPr>
        <w:pStyle w:val="ListParagraph"/>
        <w:numPr>
          <w:ilvl w:val="0"/>
          <w:numId w:val="2"/>
        </w:numPr>
      </w:pPr>
      <w:r>
        <w:t>Information Incident Protocol</w:t>
      </w:r>
    </w:p>
    <w:p w:rsidR="00224093" w:rsidP="00224093" w:rsidRDefault="00224093" w14:paraId="122AFFCD" w14:textId="77777777">
      <w:pPr>
        <w:pStyle w:val="ListParagraph"/>
        <w:numPr>
          <w:ilvl w:val="0"/>
          <w:numId w:val="2"/>
        </w:numPr>
      </w:pPr>
      <w:r>
        <w:t>Information Risk and Audit Protocol</w:t>
      </w:r>
    </w:p>
    <w:p w:rsidR="00224093" w:rsidP="00224093" w:rsidRDefault="00224093" w14:paraId="16A41791" w14:textId="77777777">
      <w:pPr>
        <w:pStyle w:val="ListParagraph"/>
        <w:numPr>
          <w:ilvl w:val="0"/>
          <w:numId w:val="2"/>
        </w:numPr>
      </w:pPr>
      <w:r>
        <w:t>Data Protection Impact Assessment Protocol</w:t>
      </w:r>
    </w:p>
    <w:p w:rsidR="00224093" w:rsidP="00224093" w:rsidRDefault="00224093" w14:paraId="3028E314" w14:textId="77777777">
      <w:pPr>
        <w:pStyle w:val="ListParagraph"/>
        <w:numPr>
          <w:ilvl w:val="0"/>
          <w:numId w:val="2"/>
        </w:numPr>
      </w:pPr>
      <w:r>
        <w:t>Freedom of Information Protocol</w:t>
      </w:r>
    </w:p>
    <w:p w:rsidR="00B94E5A" w:rsidP="00BD737C" w:rsidRDefault="00B94E5A" w14:paraId="53E83D4B" w14:textId="78E9F820">
      <w:pPr>
        <w:pStyle w:val="Heading1"/>
      </w:pPr>
      <w:bookmarkStart w:name="_Toc6744175" w:id="23"/>
      <w:r>
        <w:t>Audit Schedule</w:t>
      </w:r>
      <w:bookmarkEnd w:id="23"/>
    </w:p>
    <w:p w:rsidRPr="007F50FD" w:rsidR="007F50FD" w:rsidP="007F50FD" w:rsidRDefault="00D97A6F" w14:paraId="42E0E075" w14:textId="58A03C1C">
      <w:r>
        <w:t xml:space="preserve">Outcomes of the </w:t>
      </w:r>
      <w:r w:rsidR="00F036D2">
        <w:t>protocol</w:t>
      </w:r>
      <w:r>
        <w:t xml:space="preserve"> will be fed into the Plan, Do, Check, Act cycle as referenced in the Information Risk </w:t>
      </w:r>
      <w:r w:rsidR="00224093">
        <w:t>and Audit</w:t>
      </w:r>
      <w:r>
        <w:t xml:space="preserve"> Protocol.</w:t>
      </w:r>
    </w:p>
    <w:p w:rsidR="00B94E5A" w:rsidP="00BD737C" w:rsidRDefault="00B94E5A" w14:paraId="0F8449E7" w14:textId="77777777">
      <w:pPr>
        <w:pStyle w:val="Heading1"/>
      </w:pPr>
      <w:bookmarkStart w:name="_Toc6744176" w:id="24"/>
      <w:r>
        <w:t>Review</w:t>
      </w:r>
      <w:bookmarkEnd w:id="24"/>
    </w:p>
    <w:p w:rsidR="007F50FD" w:rsidP="009B627D" w:rsidRDefault="00AD06AB" w14:paraId="0CB718D0" w14:textId="019E4901">
      <w:r>
        <w:t xml:space="preserve">This </w:t>
      </w:r>
      <w:r w:rsidR="00610A56">
        <w:t>protocol</w:t>
      </w:r>
      <w:r>
        <w:t xml:space="preserve"> will be reviewed every year</w:t>
      </w:r>
      <w:r w:rsidR="00610A56">
        <w:t xml:space="preserve"> </w:t>
      </w:r>
      <w:r>
        <w:t>or sooner where necessary</w:t>
      </w:r>
    </w:p>
    <w:sectPr w:rsidR="007F50FD" w:rsidSect="00D97A6F">
      <w:headerReference w:type="default" r:id="rId8"/>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9A8" w:rsidP="00B94E5A" w:rsidRDefault="00E819A8" w14:paraId="452966A3" w14:textId="77777777">
      <w:pPr>
        <w:spacing w:after="0" w:line="240" w:lineRule="auto"/>
      </w:pPr>
      <w:r>
        <w:separator/>
      </w:r>
    </w:p>
  </w:endnote>
  <w:endnote w:type="continuationSeparator" w:id="0">
    <w:p w:rsidR="00E819A8" w:rsidP="00B94E5A" w:rsidRDefault="00E819A8" w14:paraId="77C4CD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9A8" w:rsidP="00B94E5A" w:rsidRDefault="00E819A8" w14:paraId="65819B93" w14:textId="77777777">
      <w:pPr>
        <w:spacing w:after="0" w:line="240" w:lineRule="auto"/>
      </w:pPr>
      <w:r>
        <w:separator/>
      </w:r>
    </w:p>
  </w:footnote>
  <w:footnote w:type="continuationSeparator" w:id="0">
    <w:p w:rsidR="00E819A8" w:rsidP="00B94E5A" w:rsidRDefault="00E819A8" w14:paraId="3052F2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96514F" w:rsidP="0096514F" w:rsidRDefault="00932EF6" w14:paraId="5EEB24FE" w14:textId="54D4670E">
    <w:pPr>
      <w:pStyle w:val="Header"/>
      <w:jc w:val="center"/>
      <w:rPr>
        <w:sz w:val="60"/>
        <w:szCs w:val="60"/>
      </w:rPr>
    </w:pPr>
    <w:r>
      <w:rPr>
        <w:noProof/>
        <w:sz w:val="60"/>
        <w:szCs w:val="60"/>
      </w:rPr>
      <w:t>Suffolk</w:t>
    </w:r>
    <w:r w:rsidR="0096514F">
      <w:rPr>
        <w:noProof/>
        <w:sz w:val="60"/>
        <w:szCs w:val="60"/>
      </w:rPr>
      <w:t xml:space="preserve"> GP Practice DPO Cluster</w:t>
    </w:r>
  </w:p>
  <w:p w:rsidR="00821E33" w:rsidRDefault="0096514F" w14:paraId="3E32844B" w14:textId="6A475FC7">
    <w:pPr>
      <w:pStyle w:val="Header"/>
    </w:pPr>
    <w:r w:rsidRPr="00E839B5" w:rsidDel="0096514F">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CF5131"/>
    <w:multiLevelType w:val="hybridMultilevel"/>
    <w:tmpl w:val="FB42A754"/>
    <w:lvl w:ilvl="0" w:tplc="08090005">
      <w:start w:val="1"/>
      <w:numFmt w:val="bullet"/>
      <w:lvlText w:val=""/>
      <w:lvlJc w:val="left"/>
      <w:pPr>
        <w:ind w:left="1440" w:hanging="360"/>
      </w:pPr>
      <w:rPr>
        <w:rFonts w:hint="default" w:ascii="Wingdings" w:hAnsi="Wingdings"/>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7"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7F8006F"/>
    <w:multiLevelType w:val="multilevel"/>
    <w:tmpl w:val="A7E224A0"/>
    <w:lvl w:ilvl="0">
      <w:start w:val="1"/>
      <w:numFmt w:val="bullet"/>
      <w:lvlText w:val=""/>
      <w:lvlJc w:val="left"/>
      <w:pPr>
        <w:tabs>
          <w:tab w:val="num" w:pos="1440"/>
        </w:tabs>
        <w:ind w:left="1440" w:hanging="360"/>
      </w:pPr>
      <w:rPr>
        <w:rFonts w:hint="default" w:ascii="Wingdings" w:hAnsi="Wingdings"/>
        <w:sz w:val="20"/>
      </w:rPr>
    </w:lvl>
    <w:lvl w:ilvl="1">
      <w:start w:val="1"/>
      <w:numFmt w:val="bullet"/>
      <w:lvlText w:val="o"/>
      <w:lvlJc w:val="left"/>
      <w:pPr>
        <w:tabs>
          <w:tab w:val="num" w:pos="2160"/>
        </w:tabs>
        <w:ind w:left="2160" w:hanging="360"/>
      </w:pPr>
      <w:rPr>
        <w:rFonts w:hint="default" w:ascii="Courier New" w:hAnsi="Courier New" w:cs="Times New Roman"/>
        <w:sz w:val="20"/>
      </w:rPr>
    </w:lvl>
    <w:lvl w:ilvl="2">
      <w:start w:val="1"/>
      <w:numFmt w:val="bullet"/>
      <w:lvlText w:val=""/>
      <w:lvlJc w:val="left"/>
      <w:pPr>
        <w:tabs>
          <w:tab w:val="num" w:pos="2880"/>
        </w:tabs>
        <w:ind w:left="2880" w:hanging="360"/>
      </w:pPr>
      <w:rPr>
        <w:rFonts w:hint="default" w:ascii="Wingdings" w:hAnsi="Wingdings"/>
        <w:sz w:val="20"/>
      </w:rPr>
    </w:lvl>
    <w:lvl w:ilvl="3">
      <w:start w:val="1"/>
      <w:numFmt w:val="bullet"/>
      <w:lvlText w:val=""/>
      <w:lvlJc w:val="left"/>
      <w:pPr>
        <w:tabs>
          <w:tab w:val="num" w:pos="3600"/>
        </w:tabs>
        <w:ind w:left="3600" w:hanging="360"/>
      </w:pPr>
      <w:rPr>
        <w:rFonts w:hint="default" w:ascii="Wingdings" w:hAnsi="Wingdings"/>
        <w:sz w:val="20"/>
      </w:rPr>
    </w:lvl>
    <w:lvl w:ilvl="4">
      <w:start w:val="1"/>
      <w:numFmt w:val="bullet"/>
      <w:lvlText w:val=""/>
      <w:lvlJc w:val="left"/>
      <w:pPr>
        <w:tabs>
          <w:tab w:val="num" w:pos="4320"/>
        </w:tabs>
        <w:ind w:left="4320" w:hanging="360"/>
      </w:pPr>
      <w:rPr>
        <w:rFonts w:hint="default" w:ascii="Wingdings" w:hAnsi="Wingdings"/>
        <w:sz w:val="20"/>
      </w:rPr>
    </w:lvl>
    <w:lvl w:ilvl="5">
      <w:start w:val="1"/>
      <w:numFmt w:val="bullet"/>
      <w:lvlText w:val=""/>
      <w:lvlJc w:val="left"/>
      <w:pPr>
        <w:tabs>
          <w:tab w:val="num" w:pos="5040"/>
        </w:tabs>
        <w:ind w:left="5040" w:hanging="360"/>
      </w:pPr>
      <w:rPr>
        <w:rFonts w:hint="default" w:ascii="Wingdings" w:hAnsi="Wingdings"/>
        <w:sz w:val="20"/>
      </w:rPr>
    </w:lvl>
    <w:lvl w:ilvl="6">
      <w:start w:val="1"/>
      <w:numFmt w:val="bullet"/>
      <w:lvlText w:val=""/>
      <w:lvlJc w:val="left"/>
      <w:pPr>
        <w:tabs>
          <w:tab w:val="num" w:pos="5760"/>
        </w:tabs>
        <w:ind w:left="5760" w:hanging="360"/>
      </w:pPr>
      <w:rPr>
        <w:rFonts w:hint="default" w:ascii="Wingdings" w:hAnsi="Wingdings"/>
        <w:sz w:val="20"/>
      </w:rPr>
    </w:lvl>
    <w:lvl w:ilvl="7">
      <w:start w:val="1"/>
      <w:numFmt w:val="bullet"/>
      <w:lvlText w:val=""/>
      <w:lvlJc w:val="left"/>
      <w:pPr>
        <w:tabs>
          <w:tab w:val="num" w:pos="6480"/>
        </w:tabs>
        <w:ind w:left="6480" w:hanging="360"/>
      </w:pPr>
      <w:rPr>
        <w:rFonts w:hint="default" w:ascii="Wingdings" w:hAnsi="Wingdings"/>
        <w:sz w:val="20"/>
      </w:rPr>
    </w:lvl>
    <w:lvl w:ilvl="8">
      <w:start w:val="1"/>
      <w:numFmt w:val="bullet"/>
      <w:lvlText w:val=""/>
      <w:lvlJc w:val="left"/>
      <w:pPr>
        <w:tabs>
          <w:tab w:val="num" w:pos="7200"/>
        </w:tabs>
        <w:ind w:left="7200" w:hanging="360"/>
      </w:pPr>
      <w:rPr>
        <w:rFonts w:hint="default" w:ascii="Wingdings" w:hAnsi="Wingdings"/>
        <w:sz w:val="20"/>
      </w:rPr>
    </w:lvl>
  </w:abstractNum>
  <w:abstractNum w:abstractNumId="11" w15:restartNumberingAfterBreak="0">
    <w:nsid w:val="2B5F243D"/>
    <w:multiLevelType w:val="hybridMultilevel"/>
    <w:tmpl w:val="ABE4ECBC"/>
    <w:lvl w:ilvl="0" w:tplc="E7ECC50A">
      <w:start w:val="1"/>
      <w:numFmt w:val="bullet"/>
      <w:pStyle w:val="Bullets"/>
      <w:lvlText w:val=""/>
      <w:lvlJc w:val="left"/>
      <w:pPr>
        <w:ind w:left="720" w:hanging="360"/>
      </w:pPr>
      <w:rPr>
        <w:rFonts w:hint="default" w:ascii="Symbol" w:hAnsi="Symbol"/>
        <w:color w:val="5FBAA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18" w15:restartNumberingAfterBreak="0">
    <w:nsid w:val="519511D9"/>
    <w:multiLevelType w:val="hybridMultilevel"/>
    <w:tmpl w:val="21AE8952"/>
    <w:lvl w:ilvl="0" w:tplc="8DAEB16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F271A20"/>
    <w:multiLevelType w:val="hybridMultilevel"/>
    <w:tmpl w:val="F2008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24189"/>
    <w:multiLevelType w:val="multilevel"/>
    <w:tmpl w:val="CAD4E5D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2"/>
  </w:num>
  <w:num w:numId="5">
    <w:abstractNumId w:val="14"/>
  </w:num>
  <w:num w:numId="6">
    <w:abstractNumId w:val="1"/>
  </w:num>
  <w:num w:numId="7">
    <w:abstractNumId w:val="19"/>
  </w:num>
  <w:num w:numId="8">
    <w:abstractNumId w:val="16"/>
  </w:num>
  <w:num w:numId="9">
    <w:abstractNumId w:val="17"/>
  </w:num>
  <w:num w:numId="10">
    <w:abstractNumId w:val="0"/>
  </w:num>
  <w:num w:numId="11">
    <w:abstractNumId w:val="5"/>
  </w:num>
  <w:num w:numId="12">
    <w:abstractNumId w:val="2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2"/>
  </w:num>
  <w:num w:numId="22">
    <w:abstractNumId w:val="13"/>
  </w:num>
  <w:num w:numId="23">
    <w:abstractNumId w:val="13"/>
  </w:num>
  <w:num w:numId="24">
    <w:abstractNumId w:val="13"/>
  </w:num>
  <w:num w:numId="25">
    <w:abstractNumId w:val="8"/>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15"/>
  </w:num>
  <w:num w:numId="31">
    <w:abstractNumId w:val="24"/>
  </w:num>
  <w:num w:numId="32">
    <w:abstractNumId w:val="26"/>
  </w:num>
  <w:num w:numId="33">
    <w:abstractNumId w:val="4"/>
  </w:num>
  <w:num w:numId="34">
    <w:abstractNumId w:val="21"/>
  </w:num>
  <w:num w:numId="35">
    <w:abstractNumId w:val="11"/>
  </w:num>
  <w:num w:numId="36">
    <w:abstractNumId w:val="18"/>
  </w:num>
  <w:num w:numId="37">
    <w:abstractNumId w:val="6"/>
  </w:num>
  <w:num w:numId="38">
    <w:abstractNumId w:val="20"/>
  </w:num>
  <w:num w:numId="39">
    <w:abstractNumId w:val="10"/>
  </w:num>
  <w:num w:numId="40">
    <w:abstractNumId w:val="22"/>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D76AA"/>
    <w:rsid w:val="000E0FAD"/>
    <w:rsid w:val="000F260E"/>
    <w:rsid w:val="000F4B31"/>
    <w:rsid w:val="0011199B"/>
    <w:rsid w:val="00163DF8"/>
    <w:rsid w:val="0018075F"/>
    <w:rsid w:val="00185F34"/>
    <w:rsid w:val="001A2A82"/>
    <w:rsid w:val="00213805"/>
    <w:rsid w:val="00224093"/>
    <w:rsid w:val="002264D5"/>
    <w:rsid w:val="00255B5A"/>
    <w:rsid w:val="002613AD"/>
    <w:rsid w:val="002942F4"/>
    <w:rsid w:val="002A2A1A"/>
    <w:rsid w:val="002B2FE8"/>
    <w:rsid w:val="00304CF3"/>
    <w:rsid w:val="00315C5E"/>
    <w:rsid w:val="003604E5"/>
    <w:rsid w:val="00375356"/>
    <w:rsid w:val="00380847"/>
    <w:rsid w:val="00396C64"/>
    <w:rsid w:val="003C512D"/>
    <w:rsid w:val="003D2AA3"/>
    <w:rsid w:val="003D610E"/>
    <w:rsid w:val="004003B1"/>
    <w:rsid w:val="00411266"/>
    <w:rsid w:val="0046183F"/>
    <w:rsid w:val="00465D5E"/>
    <w:rsid w:val="004B5A1F"/>
    <w:rsid w:val="004D06A6"/>
    <w:rsid w:val="004D0819"/>
    <w:rsid w:val="005003CC"/>
    <w:rsid w:val="005361DD"/>
    <w:rsid w:val="00570CC4"/>
    <w:rsid w:val="00584860"/>
    <w:rsid w:val="005E3623"/>
    <w:rsid w:val="00610A56"/>
    <w:rsid w:val="00644921"/>
    <w:rsid w:val="0065435E"/>
    <w:rsid w:val="00654CFA"/>
    <w:rsid w:val="00735409"/>
    <w:rsid w:val="007566D3"/>
    <w:rsid w:val="007661B3"/>
    <w:rsid w:val="00784793"/>
    <w:rsid w:val="007A7CED"/>
    <w:rsid w:val="007E0044"/>
    <w:rsid w:val="007F50FD"/>
    <w:rsid w:val="007F696F"/>
    <w:rsid w:val="00812449"/>
    <w:rsid w:val="00812754"/>
    <w:rsid w:val="00821E33"/>
    <w:rsid w:val="00830E8F"/>
    <w:rsid w:val="00851274"/>
    <w:rsid w:val="008736A3"/>
    <w:rsid w:val="00875E36"/>
    <w:rsid w:val="00877049"/>
    <w:rsid w:val="0089307D"/>
    <w:rsid w:val="008C174E"/>
    <w:rsid w:val="008C3BA8"/>
    <w:rsid w:val="008D19B8"/>
    <w:rsid w:val="00901D8E"/>
    <w:rsid w:val="009030B6"/>
    <w:rsid w:val="00907383"/>
    <w:rsid w:val="009256C1"/>
    <w:rsid w:val="00932EF6"/>
    <w:rsid w:val="00941A58"/>
    <w:rsid w:val="00950248"/>
    <w:rsid w:val="0096514F"/>
    <w:rsid w:val="009B627D"/>
    <w:rsid w:val="009E3468"/>
    <w:rsid w:val="00A22A9D"/>
    <w:rsid w:val="00A3230F"/>
    <w:rsid w:val="00A3731C"/>
    <w:rsid w:val="00A46DFB"/>
    <w:rsid w:val="00A55A7F"/>
    <w:rsid w:val="00A66378"/>
    <w:rsid w:val="00A97311"/>
    <w:rsid w:val="00AD06AB"/>
    <w:rsid w:val="00AD56DE"/>
    <w:rsid w:val="00AF1E4C"/>
    <w:rsid w:val="00AF38E3"/>
    <w:rsid w:val="00B04F43"/>
    <w:rsid w:val="00B0780D"/>
    <w:rsid w:val="00B14990"/>
    <w:rsid w:val="00B40380"/>
    <w:rsid w:val="00B93ACF"/>
    <w:rsid w:val="00B94E5A"/>
    <w:rsid w:val="00BA5B30"/>
    <w:rsid w:val="00BD737C"/>
    <w:rsid w:val="00BE18BD"/>
    <w:rsid w:val="00BF329A"/>
    <w:rsid w:val="00C04132"/>
    <w:rsid w:val="00C0746C"/>
    <w:rsid w:val="00C07BE4"/>
    <w:rsid w:val="00C45FEC"/>
    <w:rsid w:val="00C46321"/>
    <w:rsid w:val="00C86FE9"/>
    <w:rsid w:val="00CB1C00"/>
    <w:rsid w:val="00CB323E"/>
    <w:rsid w:val="00CD4743"/>
    <w:rsid w:val="00CE07F3"/>
    <w:rsid w:val="00D212B5"/>
    <w:rsid w:val="00D22621"/>
    <w:rsid w:val="00D25CAA"/>
    <w:rsid w:val="00D97A6F"/>
    <w:rsid w:val="00DC1596"/>
    <w:rsid w:val="00E32ABB"/>
    <w:rsid w:val="00E53E66"/>
    <w:rsid w:val="00E67766"/>
    <w:rsid w:val="00E718DB"/>
    <w:rsid w:val="00E819A8"/>
    <w:rsid w:val="00E839B5"/>
    <w:rsid w:val="00E90D5E"/>
    <w:rsid w:val="00EA7CB2"/>
    <w:rsid w:val="00EB0209"/>
    <w:rsid w:val="00EB4F7D"/>
    <w:rsid w:val="00ED3D25"/>
    <w:rsid w:val="00ED5CD6"/>
    <w:rsid w:val="00EE1D80"/>
    <w:rsid w:val="00EE459C"/>
    <w:rsid w:val="00F03257"/>
    <w:rsid w:val="00F036D2"/>
    <w:rsid w:val="00F4065E"/>
    <w:rsid w:val="00F74D90"/>
    <w:rsid w:val="00F804BB"/>
    <w:rsid w:val="00F83EF8"/>
    <w:rsid w:val="00F91027"/>
    <w:rsid w:val="00FF2E80"/>
    <w:rsid w:val="00FF70EA"/>
    <w:rsid w:val="5591798E"/>
    <w:rsid w:val="6715C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C0413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Bullets" w:customStyle="1">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hAnsi="Arial" w:eastAsia="Calibri" w:cs="Calibri"/>
      <w:color w:val="000000"/>
      <w:szCs w:val="24"/>
    </w:rPr>
  </w:style>
  <w:style w:type="character" w:styleId="Strong">
    <w:name w:val="Strong"/>
    <w:basedOn w:val="DefaultParagraphFont"/>
    <w:uiPriority w:val="22"/>
    <w:qFormat/>
    <w:rsid w:val="00901D8E"/>
    <w:rPr>
      <w:b/>
      <w:bCs/>
    </w:rPr>
  </w:style>
  <w:style w:type="character" w:styleId="CommentReference">
    <w:name w:val="annotation reference"/>
    <w:basedOn w:val="DefaultParagraphFont"/>
    <w:uiPriority w:val="99"/>
    <w:semiHidden/>
    <w:unhideWhenUsed/>
    <w:rsid w:val="00CB1C00"/>
    <w:rPr>
      <w:sz w:val="16"/>
      <w:szCs w:val="16"/>
    </w:rPr>
  </w:style>
  <w:style w:type="paragraph" w:styleId="CommentText">
    <w:name w:val="annotation text"/>
    <w:basedOn w:val="Normal"/>
    <w:link w:val="CommentTextChar"/>
    <w:uiPriority w:val="99"/>
    <w:semiHidden/>
    <w:unhideWhenUsed/>
    <w:rsid w:val="00CB1C00"/>
    <w:pPr>
      <w:spacing w:line="240" w:lineRule="auto"/>
    </w:pPr>
    <w:rPr>
      <w:sz w:val="20"/>
      <w:szCs w:val="20"/>
    </w:rPr>
  </w:style>
  <w:style w:type="character" w:styleId="CommentTextChar" w:customStyle="1">
    <w:name w:val="Comment Text Char"/>
    <w:basedOn w:val="DefaultParagraphFont"/>
    <w:link w:val="CommentText"/>
    <w:uiPriority w:val="99"/>
    <w:semiHidden/>
    <w:rsid w:val="00CB1C00"/>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CB1C00"/>
    <w:rPr>
      <w:b/>
      <w:bCs/>
    </w:rPr>
  </w:style>
  <w:style w:type="character" w:styleId="CommentSubjectChar" w:customStyle="1">
    <w:name w:val="Comment Subject Char"/>
    <w:basedOn w:val="CommentTextChar"/>
    <w:link w:val="CommentSubject"/>
    <w:uiPriority w:val="99"/>
    <w:semiHidden/>
    <w:rsid w:val="00CB1C00"/>
    <w:rPr>
      <w:rFonts w:ascii="Arial Nova Light" w:hAnsi="Arial Nova Light"/>
      <w:b/>
      <w:bCs/>
      <w:sz w:val="20"/>
      <w:szCs w:val="20"/>
    </w:rPr>
  </w:style>
  <w:style w:type="paragraph" w:styleId="BalloonText">
    <w:name w:val="Balloon Text"/>
    <w:basedOn w:val="Normal"/>
    <w:link w:val="BalloonTextChar"/>
    <w:uiPriority w:val="99"/>
    <w:semiHidden/>
    <w:unhideWhenUsed/>
    <w:rsid w:val="00CB1C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1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dbe259d92e1744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355774-841a-4920-a65d-3511921b69b7}"/>
      </w:docPartPr>
      <w:docPartBody>
        <w:p w14:paraId="14E60D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7CF9-6749-45C6-95B3-004AF2D116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10</revision>
  <dcterms:created xsi:type="dcterms:W3CDTF">2019-04-21T13:34:00.0000000Z</dcterms:created>
  <dcterms:modified xsi:type="dcterms:W3CDTF">2020-02-12T10:46:18.4296265Z</dcterms:modified>
</coreProperties>
</file>