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F4B31" w:rsidP="00B94E5A" w:rsidRDefault="004B5A1F" w14:paraId="73E9F11E" w14:textId="38D30223">
      <w:pPr>
        <w:pStyle w:val="NoSpacing"/>
      </w:pPr>
      <w:r>
        <w:t xml:space="preserve">Information </w:t>
      </w:r>
      <w:r w:rsidR="003D2AA3">
        <w:t>Lifecycle</w:t>
      </w:r>
      <w:r>
        <w:t xml:space="preserve"> and </w:t>
      </w:r>
      <w:r w:rsidR="003D2AA3">
        <w:t>Data Quality</w:t>
      </w:r>
      <w:r>
        <w:t xml:space="preserve"> Protocol</w:t>
      </w:r>
    </w:p>
    <w:p w:rsidR="00B94E5A" w:rsidP="00B94E5A" w:rsidRDefault="00B94E5A" w14:paraId="70D4117E" w14:textId="77777777"/>
    <w:tbl>
      <w:tblPr>
        <w:tblStyle w:val="GridTable4-Accent5"/>
        <w:tblW w:w="0" w:type="auto"/>
        <w:tblLook w:val="04A0" w:firstRow="1" w:lastRow="0" w:firstColumn="1" w:lastColumn="0" w:noHBand="0" w:noVBand="1"/>
      </w:tblPr>
      <w:tblGrid>
        <w:gridCol w:w="3005"/>
        <w:gridCol w:w="3005"/>
        <w:gridCol w:w="3006"/>
      </w:tblGrid>
      <w:tr w:rsidR="00B94E5A" w:rsidTr="00B94E5A" w14:paraId="5D5FF29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B94E5A" w:rsidP="00B94E5A" w:rsidRDefault="00B94E5A" w14:paraId="12B009E2" w14:textId="77777777">
            <w:r>
              <w:t>Policy Title / Reference</w:t>
            </w:r>
          </w:p>
        </w:tc>
        <w:tc>
          <w:tcPr>
            <w:tcW w:w="3005" w:type="dxa"/>
          </w:tcPr>
          <w:p w:rsidR="00B94E5A" w:rsidP="00B94E5A" w:rsidRDefault="00B94E5A" w14:paraId="0677E75D" w14:textId="77777777">
            <w:pPr>
              <w:cnfStyle w:val="100000000000" w:firstRow="1" w:lastRow="0" w:firstColumn="0" w:lastColumn="0" w:oddVBand="0" w:evenVBand="0" w:oddHBand="0" w:evenHBand="0" w:firstRowFirstColumn="0" w:firstRowLastColumn="0" w:lastRowFirstColumn="0" w:lastRowLastColumn="0"/>
            </w:pPr>
            <w:r>
              <w:t>Author</w:t>
            </w:r>
          </w:p>
        </w:tc>
        <w:tc>
          <w:tcPr>
            <w:tcW w:w="3006" w:type="dxa"/>
          </w:tcPr>
          <w:p w:rsidR="00B94E5A" w:rsidP="00B94E5A" w:rsidRDefault="00B94E5A" w14:paraId="40F3A078" w14:textId="77777777">
            <w:pPr>
              <w:cnfStyle w:val="100000000000" w:firstRow="1" w:lastRow="0" w:firstColumn="0" w:lastColumn="0" w:oddVBand="0" w:evenVBand="0" w:oddHBand="0" w:evenHBand="0" w:firstRowFirstColumn="0" w:firstRowLastColumn="0" w:lastRowFirstColumn="0" w:lastRowLastColumn="0"/>
            </w:pPr>
            <w:r>
              <w:t>Owner</w:t>
            </w:r>
          </w:p>
        </w:tc>
      </w:tr>
      <w:tr w:rsidR="00B94E5A" w:rsidTr="00B94E5A" w14:paraId="48EB5F4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Pr="00B94E5A" w:rsidR="00B94E5A" w:rsidP="00B94E5A" w:rsidRDefault="00D22621" w14:paraId="44EA39E9" w14:textId="4E9165AE">
            <w:pPr>
              <w:rPr>
                <w:b w:val="0"/>
              </w:rPr>
            </w:pPr>
            <w:r>
              <w:rPr>
                <w:b w:val="0"/>
              </w:rPr>
              <w:t xml:space="preserve">Information </w:t>
            </w:r>
            <w:r w:rsidR="00014FB3">
              <w:rPr>
                <w:b w:val="0"/>
              </w:rPr>
              <w:t>Lifecycle</w:t>
            </w:r>
            <w:r>
              <w:rPr>
                <w:b w:val="0"/>
              </w:rPr>
              <w:t xml:space="preserve"> and </w:t>
            </w:r>
            <w:r w:rsidR="00014FB3">
              <w:rPr>
                <w:b w:val="0"/>
              </w:rPr>
              <w:t>Data Quality</w:t>
            </w:r>
            <w:r w:rsidRPr="00E90D5E" w:rsidR="00E90D5E">
              <w:rPr>
                <w:b w:val="0"/>
              </w:rPr>
              <w:t xml:space="preserve"> Protocol</w:t>
            </w:r>
          </w:p>
        </w:tc>
        <w:tc>
          <w:tcPr>
            <w:tcW w:w="3005" w:type="dxa"/>
          </w:tcPr>
          <w:p w:rsidR="00B94E5A" w:rsidP="00B94E5A" w:rsidRDefault="0093707C" w14:paraId="68BC7C2E" w14:textId="5D54376F">
            <w:pPr>
              <w:cnfStyle w:val="000000100000" w:firstRow="0" w:lastRow="0" w:firstColumn="0" w:lastColumn="0" w:oddVBand="0" w:evenVBand="0" w:oddHBand="1" w:evenHBand="0" w:firstRowFirstColumn="0" w:firstRowLastColumn="0" w:lastRowFirstColumn="0" w:lastRowLastColumn="0"/>
            </w:pPr>
            <w:r>
              <w:t>Emma Cooper, Cluster DPO (Kafico)</w:t>
            </w:r>
          </w:p>
        </w:tc>
        <w:tc>
          <w:tcPr>
            <w:tcW w:w="3006" w:type="dxa"/>
          </w:tcPr>
          <w:p w:rsidR="00B94E5A" w:rsidP="00B94E5A" w:rsidRDefault="0093707C" w14:paraId="21F4D711" w14:textId="3AFEA5DA">
            <w:pPr>
              <w:cnfStyle w:val="000000100000" w:firstRow="0" w:lastRow="0" w:firstColumn="0" w:lastColumn="0" w:oddVBand="0" w:evenVBand="0" w:oddHBand="1" w:evenHBand="0" w:firstRowFirstColumn="0" w:firstRowLastColumn="0" w:lastRowFirstColumn="0" w:lastRowLastColumn="0"/>
            </w:pPr>
            <w:r>
              <w:t>Practice Manager</w:t>
            </w:r>
          </w:p>
        </w:tc>
      </w:tr>
    </w:tbl>
    <w:p w:rsidR="00B94E5A" w:rsidP="00B94E5A" w:rsidRDefault="00B94E5A" w14:paraId="08B3C253" w14:textId="77777777"/>
    <w:tbl>
      <w:tblPr>
        <w:tblStyle w:val="GridTable4-Accent5"/>
        <w:tblW w:w="9016" w:type="dxa"/>
        <w:tblLook w:val="04A0" w:firstRow="1" w:lastRow="0" w:firstColumn="1" w:lastColumn="0" w:noHBand="0" w:noVBand="1"/>
      </w:tblPr>
      <w:tblGrid>
        <w:gridCol w:w="960"/>
        <w:gridCol w:w="2115"/>
        <w:gridCol w:w="5941"/>
      </w:tblGrid>
      <w:tr w:rsidR="00B94E5A" w:rsidTr="0E6FA346" w14:paraId="431D79A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 w:type="dxa"/>
            <w:tcMar/>
          </w:tcPr>
          <w:p w:rsidR="00B94E5A" w:rsidP="00B94E5A" w:rsidRDefault="00B94E5A" w14:paraId="7332AA37" w14:textId="77777777">
            <w:r>
              <w:t>Version</w:t>
            </w:r>
          </w:p>
        </w:tc>
        <w:tc>
          <w:tcPr>
            <w:cnfStyle w:val="000000000000" w:firstRow="0" w:lastRow="0" w:firstColumn="0" w:lastColumn="0" w:oddVBand="0" w:evenVBand="0" w:oddHBand="0" w:evenHBand="0" w:firstRowFirstColumn="0" w:firstRowLastColumn="0" w:lastRowFirstColumn="0" w:lastRowLastColumn="0"/>
            <w:tcW w:w="2115" w:type="dxa"/>
            <w:tcMar/>
          </w:tcPr>
          <w:p w:rsidR="00B94E5A" w:rsidP="00B94E5A" w:rsidRDefault="00B94E5A" w14:paraId="79B8E56E" w14:textId="77777777">
            <w:pPr>
              <w:cnfStyle w:val="100000000000" w:firstRow="1" w:lastRow="0" w:firstColumn="0" w:lastColumn="0" w:oddVBand="0" w:evenVBand="0" w:oddHBand="0" w:evenHBand="0" w:firstRowFirstColumn="0" w:firstRowLastColumn="0" w:lastRowFirstColumn="0" w:lastRowLastColumn="0"/>
            </w:pPr>
            <w:r>
              <w:t>Revision author</w:t>
            </w:r>
          </w:p>
        </w:tc>
        <w:tc>
          <w:tcPr>
            <w:cnfStyle w:val="000000000000" w:firstRow="0" w:lastRow="0" w:firstColumn="0" w:lastColumn="0" w:oddVBand="0" w:evenVBand="0" w:oddHBand="0" w:evenHBand="0" w:firstRowFirstColumn="0" w:firstRowLastColumn="0" w:lastRowFirstColumn="0" w:lastRowLastColumn="0"/>
            <w:tcW w:w="5941" w:type="dxa"/>
            <w:tcMar/>
          </w:tcPr>
          <w:p w:rsidR="00B94E5A" w:rsidP="00B94E5A" w:rsidRDefault="00B94E5A" w14:paraId="4546AB11" w14:textId="77777777">
            <w:pPr>
              <w:cnfStyle w:val="100000000000" w:firstRow="1" w:lastRow="0" w:firstColumn="0" w:lastColumn="0" w:oddVBand="0" w:evenVBand="0" w:oddHBand="0" w:evenHBand="0" w:firstRowFirstColumn="0" w:firstRowLastColumn="0" w:lastRowFirstColumn="0" w:lastRowLastColumn="0"/>
            </w:pPr>
            <w:r>
              <w:t>Version comments</w:t>
            </w:r>
          </w:p>
        </w:tc>
      </w:tr>
      <w:tr w:rsidR="00B94E5A" w:rsidTr="0E6FA346" w14:paraId="5EF2A2E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 w:type="dxa"/>
            <w:tcMar/>
          </w:tcPr>
          <w:p w:rsidRPr="00EC788C" w:rsidR="00B94E5A" w:rsidP="0E6FA346" w:rsidRDefault="00B94E5A" w14:paraId="5CCFCFC8" w14:textId="77777777">
            <w:pPr>
              <w:rPr>
                <w:b w:val="0"/>
                <w:bCs w:val="0"/>
                <w:sz w:val="18"/>
                <w:szCs w:val="18"/>
              </w:rPr>
            </w:pPr>
            <w:r w:rsidRPr="0E6FA346" w:rsidR="0E6FA346">
              <w:rPr>
                <w:b w:val="0"/>
                <w:bCs w:val="0"/>
                <w:sz w:val="18"/>
                <w:szCs w:val="18"/>
              </w:rPr>
              <w:t>1</w:t>
            </w:r>
          </w:p>
        </w:tc>
        <w:tc>
          <w:tcPr>
            <w:cnfStyle w:val="000000000000" w:firstRow="0" w:lastRow="0" w:firstColumn="0" w:lastColumn="0" w:oddVBand="0" w:evenVBand="0" w:oddHBand="0" w:evenHBand="0" w:firstRowFirstColumn="0" w:firstRowLastColumn="0" w:lastRowFirstColumn="0" w:lastRowLastColumn="0"/>
            <w:tcW w:w="2115" w:type="dxa"/>
            <w:tcMar/>
          </w:tcPr>
          <w:p w:rsidRPr="00EC788C" w:rsidR="00B94E5A" w:rsidP="0E6FA346" w:rsidRDefault="00B94E5A" w14:paraId="2B6311A3" w14:textId="2FF9BC43">
            <w:pPr>
              <w:cnfStyle w:val="000000100000" w:firstRow="0" w:lastRow="0" w:firstColumn="0" w:lastColumn="0" w:oddVBand="0" w:evenVBand="0" w:oddHBand="1" w:evenHBand="0" w:firstRowFirstColumn="0" w:firstRowLastColumn="0" w:lastRowFirstColumn="0" w:lastRowLastColumn="0"/>
              <w:rPr>
                <w:sz w:val="18"/>
                <w:szCs w:val="18"/>
              </w:rPr>
            </w:pPr>
            <w:r w:rsidRPr="0E6FA346" w:rsidR="0E6FA346">
              <w:rPr>
                <w:sz w:val="18"/>
                <w:szCs w:val="18"/>
              </w:rPr>
              <w:t>Emma Cooper, Kafico Ltd - DPO</w:t>
            </w:r>
          </w:p>
        </w:tc>
        <w:tc>
          <w:tcPr>
            <w:cnfStyle w:val="000000000000" w:firstRow="0" w:lastRow="0" w:firstColumn="0" w:lastColumn="0" w:oddVBand="0" w:evenVBand="0" w:oddHBand="0" w:evenHBand="0" w:firstRowFirstColumn="0" w:firstRowLastColumn="0" w:lastRowFirstColumn="0" w:lastRowLastColumn="0"/>
            <w:tcW w:w="5941" w:type="dxa"/>
            <w:tcMar/>
          </w:tcPr>
          <w:p w:rsidRPr="00EC788C" w:rsidR="00B94E5A" w:rsidP="0E6FA346" w:rsidRDefault="00BA32AD" w14:paraId="12A855DC" w14:textId="35EC8C07">
            <w:pPr>
              <w:cnfStyle w:val="000000100000" w:firstRow="0" w:lastRow="0" w:firstColumn="0" w:lastColumn="0" w:oddVBand="0" w:evenVBand="0" w:oddHBand="1" w:evenHBand="0" w:firstRowFirstColumn="0" w:firstRowLastColumn="0" w:lastRowFirstColumn="0" w:lastRowLastColumn="0"/>
              <w:rPr>
                <w:sz w:val="18"/>
                <w:szCs w:val="18"/>
              </w:rPr>
            </w:pPr>
            <w:r w:rsidRPr="0E6FA346" w:rsidR="0E6FA346">
              <w:rPr>
                <w:sz w:val="18"/>
                <w:szCs w:val="18"/>
              </w:rPr>
              <w:t xml:space="preserve">Jan 18 </w:t>
            </w:r>
            <w:r w:rsidRPr="0E6FA346" w:rsidR="0E6FA346">
              <w:rPr>
                <w:sz w:val="18"/>
                <w:szCs w:val="18"/>
              </w:rPr>
              <w:t>New Draft</w:t>
            </w:r>
          </w:p>
        </w:tc>
      </w:tr>
      <w:tr w:rsidR="00EC788C" w:rsidTr="0E6FA346" w14:paraId="4F125AAB" w14:textId="77777777">
        <w:tc>
          <w:tcPr>
            <w:cnfStyle w:val="001000000000" w:firstRow="0" w:lastRow="0" w:firstColumn="1" w:lastColumn="0" w:oddVBand="0" w:evenVBand="0" w:oddHBand="0" w:evenHBand="0" w:firstRowFirstColumn="0" w:firstRowLastColumn="0" w:lastRowFirstColumn="0" w:lastRowLastColumn="0"/>
            <w:tcW w:w="960" w:type="dxa"/>
            <w:tcMar/>
          </w:tcPr>
          <w:p w:rsidRPr="00EC788C" w:rsidR="00EC788C" w:rsidP="0E6FA346" w:rsidRDefault="00EC788C" w14:paraId="1D5F4FEE" w14:textId="5731B575">
            <w:pPr>
              <w:rPr>
                <w:b w:val="0"/>
                <w:bCs w:val="0"/>
                <w:sz w:val="18"/>
                <w:szCs w:val="18"/>
              </w:rPr>
            </w:pPr>
            <w:r w:rsidRPr="0E6FA346" w:rsidR="0E6FA346">
              <w:rPr>
                <w:b w:val="0"/>
                <w:bCs w:val="0"/>
                <w:sz w:val="18"/>
                <w:szCs w:val="18"/>
              </w:rPr>
              <w:t>1.1</w:t>
            </w:r>
          </w:p>
        </w:tc>
        <w:tc>
          <w:tcPr>
            <w:cnfStyle w:val="000000000000" w:firstRow="0" w:lastRow="0" w:firstColumn="0" w:lastColumn="0" w:oddVBand="0" w:evenVBand="0" w:oddHBand="0" w:evenHBand="0" w:firstRowFirstColumn="0" w:firstRowLastColumn="0" w:lastRowFirstColumn="0" w:lastRowLastColumn="0"/>
            <w:tcW w:w="2115" w:type="dxa"/>
            <w:tcMar/>
          </w:tcPr>
          <w:p w:rsidRPr="00EC788C" w:rsidR="00EC788C" w:rsidP="0E6FA346" w:rsidRDefault="00EC788C" w14:paraId="6C8A2E28" w14:textId="5E3F0955">
            <w:pPr>
              <w:cnfStyle w:val="000000000000" w:firstRow="0" w:lastRow="0" w:firstColumn="0" w:lastColumn="0" w:oddVBand="0" w:evenVBand="0" w:oddHBand="0" w:evenHBand="0" w:firstRowFirstColumn="0" w:firstRowLastColumn="0" w:lastRowFirstColumn="0" w:lastRowLastColumn="0"/>
              <w:rPr>
                <w:sz w:val="18"/>
                <w:szCs w:val="18"/>
              </w:rPr>
            </w:pPr>
            <w:r w:rsidRPr="0E6FA346" w:rsidR="0E6FA346">
              <w:rPr>
                <w:sz w:val="18"/>
                <w:szCs w:val="18"/>
              </w:rPr>
              <w:t>Emma Cooper, Kafico Ltd - DPO</w:t>
            </w:r>
          </w:p>
        </w:tc>
        <w:tc>
          <w:tcPr>
            <w:cnfStyle w:val="000000000000" w:firstRow="0" w:lastRow="0" w:firstColumn="0" w:lastColumn="0" w:oddVBand="0" w:evenVBand="0" w:oddHBand="0" w:evenHBand="0" w:firstRowFirstColumn="0" w:firstRowLastColumn="0" w:lastRowFirstColumn="0" w:lastRowLastColumn="0"/>
            <w:tcW w:w="5941" w:type="dxa"/>
            <w:tcMar/>
          </w:tcPr>
          <w:p w:rsidRPr="00EC788C" w:rsidR="00EC788C" w:rsidP="0E6FA346" w:rsidRDefault="00EC788C" w14:paraId="0C19A66D" w14:textId="2FA786FB">
            <w:pPr>
              <w:cnfStyle w:val="000000000000" w:firstRow="0" w:lastRow="0" w:firstColumn="0" w:lastColumn="0" w:oddVBand="0" w:evenVBand="0" w:oddHBand="0" w:evenHBand="0" w:firstRowFirstColumn="0" w:firstRowLastColumn="0" w:lastRowFirstColumn="0" w:lastRowLastColumn="0"/>
              <w:rPr>
                <w:sz w:val="18"/>
                <w:szCs w:val="18"/>
              </w:rPr>
            </w:pPr>
            <w:r w:rsidRPr="0E6FA346" w:rsidR="0E6FA346">
              <w:rPr>
                <w:sz w:val="18"/>
                <w:szCs w:val="18"/>
              </w:rPr>
              <w:t>Jan 2019 Replaced 1998 DPA with 2018 Act. Replaced GDPR with “data protection legislation”.</w:t>
            </w:r>
          </w:p>
        </w:tc>
      </w:tr>
      <w:tr w:rsidR="1131187D" w:rsidTr="0E6FA346" w14:paraId="0B231642">
        <w:tc>
          <w:tcPr>
            <w:cnfStyle w:val="001000000000" w:firstRow="0" w:lastRow="0" w:firstColumn="1" w:lastColumn="0" w:oddVBand="0" w:evenVBand="0" w:oddHBand="0" w:evenHBand="0" w:firstRowFirstColumn="0" w:firstRowLastColumn="0" w:lastRowFirstColumn="0" w:lastRowLastColumn="0"/>
            <w:tcW w:w="960" w:type="dxa"/>
            <w:tcMar/>
          </w:tcPr>
          <w:p w:rsidR="1131187D" w:rsidP="0E6FA346" w:rsidRDefault="1131187D" w14:paraId="70E23323" w14:textId="491BD3DA">
            <w:pPr>
              <w:pStyle w:val="Normal"/>
              <w:rPr>
                <w:b w:val="0"/>
                <w:bCs w:val="0"/>
                <w:sz w:val="18"/>
                <w:szCs w:val="18"/>
              </w:rPr>
            </w:pPr>
            <w:r w:rsidRPr="0E6FA346" w:rsidR="0E6FA346">
              <w:rPr>
                <w:b w:val="0"/>
                <w:bCs w:val="0"/>
                <w:sz w:val="18"/>
                <w:szCs w:val="18"/>
              </w:rPr>
              <w:t>1.1</w:t>
            </w:r>
          </w:p>
        </w:tc>
        <w:tc>
          <w:tcPr>
            <w:cnfStyle w:val="000000000000" w:firstRow="0" w:lastRow="0" w:firstColumn="0" w:lastColumn="0" w:oddVBand="0" w:evenVBand="0" w:oddHBand="0" w:evenHBand="0" w:firstRowFirstColumn="0" w:firstRowLastColumn="0" w:lastRowFirstColumn="0" w:lastRowLastColumn="0"/>
            <w:tcW w:w="2115" w:type="dxa"/>
            <w:tcMar/>
          </w:tcPr>
          <w:p w:rsidR="1131187D" w:rsidP="0E6FA346" w:rsidRDefault="1131187D" w14:paraId="3594DDEC" w14:textId="7F5C7343">
            <w:pPr>
              <w:pStyle w:val="Normal"/>
              <w:rPr>
                <w:sz w:val="18"/>
                <w:szCs w:val="18"/>
              </w:rPr>
            </w:pPr>
            <w:r w:rsidRPr="0E6FA346" w:rsidR="0E6FA346">
              <w:rPr>
                <w:sz w:val="18"/>
                <w:szCs w:val="18"/>
              </w:rPr>
              <w:t>Emma Cooper, Kafico Ltd, DPO</w:t>
            </w:r>
          </w:p>
        </w:tc>
        <w:tc>
          <w:tcPr>
            <w:cnfStyle w:val="000000000000" w:firstRow="0" w:lastRow="0" w:firstColumn="0" w:lastColumn="0" w:oddVBand="0" w:evenVBand="0" w:oddHBand="0" w:evenHBand="0" w:firstRowFirstColumn="0" w:firstRowLastColumn="0" w:lastRowFirstColumn="0" w:lastRowLastColumn="0"/>
            <w:tcW w:w="5941" w:type="dxa"/>
            <w:tcMar/>
          </w:tcPr>
          <w:p w:rsidR="1131187D" w:rsidP="0E6FA346" w:rsidRDefault="1131187D" w14:paraId="39A45055" w14:textId="40825297">
            <w:pPr>
              <w:spacing w:line="360" w:lineRule="auto"/>
              <w:rPr>
                <w:rFonts w:ascii="Arial Nova Light" w:hAnsi="Arial Nova Light" w:eastAsia="Arial Nova Light" w:cs="Arial Nova Light"/>
                <w:b w:val="0"/>
                <w:bCs w:val="0"/>
                <w:i w:val="0"/>
                <w:iCs w:val="0"/>
                <w:noProof w:val="0"/>
                <w:sz w:val="18"/>
                <w:szCs w:val="18"/>
                <w:lang w:val="en-GB"/>
              </w:rPr>
            </w:pPr>
            <w:r w:rsidRPr="0E6FA346" w:rsidR="0E6FA346">
              <w:rPr>
                <w:rFonts w:ascii="Arial Nova Light" w:hAnsi="Arial Nova Light" w:eastAsia="Arial Nova Light" w:cs="Arial Nova Light"/>
                <w:b w:val="0"/>
                <w:bCs w:val="0"/>
                <w:i w:val="0"/>
                <w:iCs w:val="0"/>
                <w:noProof w:val="0"/>
                <w:sz w:val="18"/>
                <w:szCs w:val="18"/>
                <w:lang w:val="en-GB"/>
              </w:rPr>
              <w:t>Jan / Feb 20 – Annual review – no amendments</w:t>
            </w:r>
          </w:p>
        </w:tc>
      </w:tr>
    </w:tbl>
    <w:p w:rsidR="00B94E5A" w:rsidP="00B94E5A" w:rsidRDefault="00B94E5A" w14:paraId="0E2D3F5F" w14:textId="18424391"/>
    <w:sdt>
      <w:sdtPr>
        <w:rPr>
          <w:rFonts w:ascii="Arial Nova Light" w:hAnsi="Arial Nova Light" w:eastAsiaTheme="minorHAnsi" w:cstheme="minorBidi"/>
          <w:color w:val="auto"/>
          <w:sz w:val="22"/>
          <w:szCs w:val="22"/>
          <w:lang w:val="en-GB"/>
        </w:rPr>
        <w:id w:val="194978940"/>
        <w:docPartObj>
          <w:docPartGallery w:val="Table of Contents"/>
          <w:docPartUnique/>
        </w:docPartObj>
      </w:sdtPr>
      <w:sdtEndPr>
        <w:rPr>
          <w:b/>
          <w:bCs/>
          <w:noProof/>
        </w:rPr>
      </w:sdtEndPr>
      <w:sdtContent>
        <w:p w:rsidR="00F03257" w:rsidRDefault="00F03257" w14:paraId="4490B1AF" w14:textId="23120829">
          <w:pPr>
            <w:pStyle w:val="TOCHeading"/>
          </w:pPr>
          <w:r>
            <w:t>Contents</w:t>
          </w:r>
        </w:p>
        <w:p w:rsidR="009732B5" w:rsidRDefault="00F03257" w14:paraId="4F0FA1BB" w14:textId="5013106A">
          <w:pPr>
            <w:pStyle w:val="TOC1"/>
            <w:tabs>
              <w:tab w:val="left" w:pos="440"/>
              <w:tab w:val="right" w:leader="dot" w:pos="9016"/>
            </w:tabs>
            <w:rPr>
              <w:rFonts w:asciiTheme="minorHAnsi" w:hAnsiTheme="minorHAnsi" w:eastAsiaTheme="minorEastAsia"/>
              <w:noProof/>
              <w:lang w:eastAsia="en-GB"/>
            </w:rPr>
          </w:pPr>
          <w:r>
            <w:fldChar w:fldCharType="begin"/>
          </w:r>
          <w:r>
            <w:instrText xml:space="preserve"> TOC \o "1-3" \h \z \u </w:instrText>
          </w:r>
          <w:r>
            <w:fldChar w:fldCharType="separate"/>
          </w:r>
          <w:hyperlink w:history="1" w:anchor="_Toc6745188">
            <w:r w:rsidRPr="00EB3C48" w:rsidR="009732B5">
              <w:rPr>
                <w:rStyle w:val="Hyperlink"/>
                <w:noProof/>
              </w:rPr>
              <w:t>2.</w:t>
            </w:r>
            <w:r w:rsidR="009732B5">
              <w:rPr>
                <w:rFonts w:asciiTheme="minorHAnsi" w:hAnsiTheme="minorHAnsi" w:eastAsiaTheme="minorEastAsia"/>
                <w:noProof/>
                <w:lang w:eastAsia="en-GB"/>
              </w:rPr>
              <w:tab/>
            </w:r>
            <w:r w:rsidRPr="00EB3C48" w:rsidR="009732B5">
              <w:rPr>
                <w:rStyle w:val="Hyperlink"/>
                <w:noProof/>
              </w:rPr>
              <w:t>Scope</w:t>
            </w:r>
            <w:r w:rsidR="009732B5">
              <w:rPr>
                <w:noProof/>
                <w:webHidden/>
              </w:rPr>
              <w:tab/>
            </w:r>
            <w:r w:rsidR="009732B5">
              <w:rPr>
                <w:noProof/>
                <w:webHidden/>
              </w:rPr>
              <w:fldChar w:fldCharType="begin"/>
            </w:r>
            <w:r w:rsidR="009732B5">
              <w:rPr>
                <w:noProof/>
                <w:webHidden/>
              </w:rPr>
              <w:instrText xml:space="preserve"> PAGEREF _Toc6745188 \h </w:instrText>
            </w:r>
            <w:r w:rsidR="009732B5">
              <w:rPr>
                <w:noProof/>
                <w:webHidden/>
              </w:rPr>
            </w:r>
            <w:r w:rsidR="009732B5">
              <w:rPr>
                <w:noProof/>
                <w:webHidden/>
              </w:rPr>
              <w:fldChar w:fldCharType="separate"/>
            </w:r>
            <w:r w:rsidR="009732B5">
              <w:rPr>
                <w:noProof/>
                <w:webHidden/>
              </w:rPr>
              <w:t>2</w:t>
            </w:r>
            <w:r w:rsidR="009732B5">
              <w:rPr>
                <w:noProof/>
                <w:webHidden/>
              </w:rPr>
              <w:fldChar w:fldCharType="end"/>
            </w:r>
          </w:hyperlink>
        </w:p>
        <w:p w:rsidR="009732B5" w:rsidRDefault="00176159" w14:paraId="25BC5A60" w14:textId="2E44211A">
          <w:pPr>
            <w:pStyle w:val="TOC1"/>
            <w:tabs>
              <w:tab w:val="left" w:pos="440"/>
              <w:tab w:val="right" w:leader="dot" w:pos="9016"/>
            </w:tabs>
            <w:rPr>
              <w:rFonts w:asciiTheme="minorHAnsi" w:hAnsiTheme="minorHAnsi" w:eastAsiaTheme="minorEastAsia"/>
              <w:noProof/>
              <w:lang w:eastAsia="en-GB"/>
            </w:rPr>
          </w:pPr>
          <w:hyperlink w:history="1" w:anchor="_Toc6745189">
            <w:r w:rsidRPr="00EB3C48" w:rsidR="009732B5">
              <w:rPr>
                <w:rStyle w:val="Hyperlink"/>
                <w:noProof/>
              </w:rPr>
              <w:t>3.</w:t>
            </w:r>
            <w:r w:rsidR="009732B5">
              <w:rPr>
                <w:rFonts w:asciiTheme="minorHAnsi" w:hAnsiTheme="minorHAnsi" w:eastAsiaTheme="minorEastAsia"/>
                <w:noProof/>
                <w:lang w:eastAsia="en-GB"/>
              </w:rPr>
              <w:tab/>
            </w:r>
            <w:r w:rsidRPr="00EB3C48" w:rsidR="009732B5">
              <w:rPr>
                <w:rStyle w:val="Hyperlink"/>
                <w:noProof/>
              </w:rPr>
              <w:t>Definitions</w:t>
            </w:r>
            <w:r w:rsidR="009732B5">
              <w:rPr>
                <w:noProof/>
                <w:webHidden/>
              </w:rPr>
              <w:tab/>
            </w:r>
            <w:r w:rsidR="009732B5">
              <w:rPr>
                <w:noProof/>
                <w:webHidden/>
              </w:rPr>
              <w:fldChar w:fldCharType="begin"/>
            </w:r>
            <w:r w:rsidR="009732B5">
              <w:rPr>
                <w:noProof/>
                <w:webHidden/>
              </w:rPr>
              <w:instrText xml:space="preserve"> PAGEREF _Toc6745189 \h </w:instrText>
            </w:r>
            <w:r w:rsidR="009732B5">
              <w:rPr>
                <w:noProof/>
                <w:webHidden/>
              </w:rPr>
            </w:r>
            <w:r w:rsidR="009732B5">
              <w:rPr>
                <w:noProof/>
                <w:webHidden/>
              </w:rPr>
              <w:fldChar w:fldCharType="separate"/>
            </w:r>
            <w:r w:rsidR="009732B5">
              <w:rPr>
                <w:noProof/>
                <w:webHidden/>
              </w:rPr>
              <w:t>3</w:t>
            </w:r>
            <w:r w:rsidR="009732B5">
              <w:rPr>
                <w:noProof/>
                <w:webHidden/>
              </w:rPr>
              <w:fldChar w:fldCharType="end"/>
            </w:r>
          </w:hyperlink>
        </w:p>
        <w:p w:rsidR="009732B5" w:rsidRDefault="00176159" w14:paraId="45E3EDBD" w14:textId="68990E90">
          <w:pPr>
            <w:pStyle w:val="TOC1"/>
            <w:tabs>
              <w:tab w:val="left" w:pos="440"/>
              <w:tab w:val="right" w:leader="dot" w:pos="9016"/>
            </w:tabs>
            <w:rPr>
              <w:rFonts w:asciiTheme="minorHAnsi" w:hAnsiTheme="minorHAnsi" w:eastAsiaTheme="minorEastAsia"/>
              <w:noProof/>
              <w:lang w:eastAsia="en-GB"/>
            </w:rPr>
          </w:pPr>
          <w:hyperlink w:history="1" w:anchor="_Toc6745190">
            <w:r w:rsidRPr="00EB3C48" w:rsidR="009732B5">
              <w:rPr>
                <w:rStyle w:val="Hyperlink"/>
                <w:noProof/>
              </w:rPr>
              <w:t>4.</w:t>
            </w:r>
            <w:r w:rsidR="009732B5">
              <w:rPr>
                <w:rFonts w:asciiTheme="minorHAnsi" w:hAnsiTheme="minorHAnsi" w:eastAsiaTheme="minorEastAsia"/>
                <w:noProof/>
                <w:lang w:eastAsia="en-GB"/>
              </w:rPr>
              <w:tab/>
            </w:r>
            <w:r w:rsidRPr="00EB3C48" w:rsidR="009732B5">
              <w:rPr>
                <w:rStyle w:val="Hyperlink"/>
                <w:noProof/>
              </w:rPr>
              <w:t>Introduction</w:t>
            </w:r>
            <w:r w:rsidR="009732B5">
              <w:rPr>
                <w:noProof/>
                <w:webHidden/>
              </w:rPr>
              <w:tab/>
            </w:r>
            <w:r w:rsidR="009732B5">
              <w:rPr>
                <w:noProof/>
                <w:webHidden/>
              </w:rPr>
              <w:fldChar w:fldCharType="begin"/>
            </w:r>
            <w:r w:rsidR="009732B5">
              <w:rPr>
                <w:noProof/>
                <w:webHidden/>
              </w:rPr>
              <w:instrText xml:space="preserve"> PAGEREF _Toc6745190 \h </w:instrText>
            </w:r>
            <w:r w:rsidR="009732B5">
              <w:rPr>
                <w:noProof/>
                <w:webHidden/>
              </w:rPr>
            </w:r>
            <w:r w:rsidR="009732B5">
              <w:rPr>
                <w:noProof/>
                <w:webHidden/>
              </w:rPr>
              <w:fldChar w:fldCharType="separate"/>
            </w:r>
            <w:r w:rsidR="009732B5">
              <w:rPr>
                <w:noProof/>
                <w:webHidden/>
              </w:rPr>
              <w:t>3</w:t>
            </w:r>
            <w:r w:rsidR="009732B5">
              <w:rPr>
                <w:noProof/>
                <w:webHidden/>
              </w:rPr>
              <w:fldChar w:fldCharType="end"/>
            </w:r>
          </w:hyperlink>
        </w:p>
        <w:p w:rsidR="009732B5" w:rsidRDefault="00176159" w14:paraId="542455D5" w14:textId="028276C1">
          <w:pPr>
            <w:pStyle w:val="TOC1"/>
            <w:tabs>
              <w:tab w:val="left" w:pos="440"/>
              <w:tab w:val="right" w:leader="dot" w:pos="9016"/>
            </w:tabs>
            <w:rPr>
              <w:rFonts w:asciiTheme="minorHAnsi" w:hAnsiTheme="minorHAnsi" w:eastAsiaTheme="minorEastAsia"/>
              <w:noProof/>
              <w:lang w:eastAsia="en-GB"/>
            </w:rPr>
          </w:pPr>
          <w:hyperlink w:history="1" w:anchor="_Toc6745191">
            <w:r w:rsidRPr="00EB3C48" w:rsidR="009732B5">
              <w:rPr>
                <w:rStyle w:val="Hyperlink"/>
                <w:noProof/>
              </w:rPr>
              <w:t>5.</w:t>
            </w:r>
            <w:r w:rsidR="009732B5">
              <w:rPr>
                <w:rFonts w:asciiTheme="minorHAnsi" w:hAnsiTheme="minorHAnsi" w:eastAsiaTheme="minorEastAsia"/>
                <w:noProof/>
                <w:lang w:eastAsia="en-GB"/>
              </w:rPr>
              <w:tab/>
            </w:r>
            <w:r w:rsidRPr="00EB3C48" w:rsidR="009732B5">
              <w:rPr>
                <w:rStyle w:val="Hyperlink"/>
                <w:noProof/>
              </w:rPr>
              <w:t>Statutory Mandatory Framework</w:t>
            </w:r>
            <w:r w:rsidR="009732B5">
              <w:rPr>
                <w:noProof/>
                <w:webHidden/>
              </w:rPr>
              <w:tab/>
            </w:r>
            <w:r w:rsidR="009732B5">
              <w:rPr>
                <w:noProof/>
                <w:webHidden/>
              </w:rPr>
              <w:fldChar w:fldCharType="begin"/>
            </w:r>
            <w:r w:rsidR="009732B5">
              <w:rPr>
                <w:noProof/>
                <w:webHidden/>
              </w:rPr>
              <w:instrText xml:space="preserve"> PAGEREF _Toc6745191 \h </w:instrText>
            </w:r>
            <w:r w:rsidR="009732B5">
              <w:rPr>
                <w:noProof/>
                <w:webHidden/>
              </w:rPr>
            </w:r>
            <w:r w:rsidR="009732B5">
              <w:rPr>
                <w:noProof/>
                <w:webHidden/>
              </w:rPr>
              <w:fldChar w:fldCharType="separate"/>
            </w:r>
            <w:r w:rsidR="009732B5">
              <w:rPr>
                <w:noProof/>
                <w:webHidden/>
              </w:rPr>
              <w:t>3</w:t>
            </w:r>
            <w:r w:rsidR="009732B5">
              <w:rPr>
                <w:noProof/>
                <w:webHidden/>
              </w:rPr>
              <w:fldChar w:fldCharType="end"/>
            </w:r>
          </w:hyperlink>
        </w:p>
        <w:p w:rsidR="009732B5" w:rsidRDefault="00176159" w14:paraId="10FDB4FB" w14:textId="71938BF7">
          <w:pPr>
            <w:pStyle w:val="TOC1"/>
            <w:tabs>
              <w:tab w:val="left" w:pos="440"/>
              <w:tab w:val="right" w:leader="dot" w:pos="9016"/>
            </w:tabs>
            <w:rPr>
              <w:rFonts w:asciiTheme="minorHAnsi" w:hAnsiTheme="minorHAnsi" w:eastAsiaTheme="minorEastAsia"/>
              <w:noProof/>
              <w:lang w:eastAsia="en-GB"/>
            </w:rPr>
          </w:pPr>
          <w:hyperlink w:history="1" w:anchor="_Toc6745192">
            <w:r w:rsidRPr="00EB3C48" w:rsidR="009732B5">
              <w:rPr>
                <w:rStyle w:val="Hyperlink"/>
                <w:noProof/>
              </w:rPr>
              <w:t>6.</w:t>
            </w:r>
            <w:r w:rsidR="009732B5">
              <w:rPr>
                <w:rFonts w:asciiTheme="minorHAnsi" w:hAnsiTheme="minorHAnsi" w:eastAsiaTheme="minorEastAsia"/>
                <w:noProof/>
                <w:lang w:eastAsia="en-GB"/>
              </w:rPr>
              <w:tab/>
            </w:r>
            <w:r w:rsidRPr="00EB3C48" w:rsidR="009732B5">
              <w:rPr>
                <w:rStyle w:val="Hyperlink"/>
                <w:noProof/>
              </w:rPr>
              <w:t>Accountable Parties</w:t>
            </w:r>
            <w:r w:rsidR="009732B5">
              <w:rPr>
                <w:noProof/>
                <w:webHidden/>
              </w:rPr>
              <w:tab/>
            </w:r>
            <w:r w:rsidR="009732B5">
              <w:rPr>
                <w:noProof/>
                <w:webHidden/>
              </w:rPr>
              <w:fldChar w:fldCharType="begin"/>
            </w:r>
            <w:r w:rsidR="009732B5">
              <w:rPr>
                <w:noProof/>
                <w:webHidden/>
              </w:rPr>
              <w:instrText xml:space="preserve"> PAGEREF _Toc6745192 \h </w:instrText>
            </w:r>
            <w:r w:rsidR="009732B5">
              <w:rPr>
                <w:noProof/>
                <w:webHidden/>
              </w:rPr>
            </w:r>
            <w:r w:rsidR="009732B5">
              <w:rPr>
                <w:noProof/>
                <w:webHidden/>
              </w:rPr>
              <w:fldChar w:fldCharType="separate"/>
            </w:r>
            <w:r w:rsidR="009732B5">
              <w:rPr>
                <w:noProof/>
                <w:webHidden/>
              </w:rPr>
              <w:t>3</w:t>
            </w:r>
            <w:r w:rsidR="009732B5">
              <w:rPr>
                <w:noProof/>
                <w:webHidden/>
              </w:rPr>
              <w:fldChar w:fldCharType="end"/>
            </w:r>
          </w:hyperlink>
        </w:p>
        <w:p w:rsidR="009732B5" w:rsidRDefault="00176159" w14:paraId="7014CA89" w14:textId="78A95F01">
          <w:pPr>
            <w:pStyle w:val="TOC1"/>
            <w:tabs>
              <w:tab w:val="left" w:pos="440"/>
              <w:tab w:val="right" w:leader="dot" w:pos="9016"/>
            </w:tabs>
            <w:rPr>
              <w:rFonts w:asciiTheme="minorHAnsi" w:hAnsiTheme="minorHAnsi" w:eastAsiaTheme="minorEastAsia"/>
              <w:noProof/>
              <w:lang w:eastAsia="en-GB"/>
            </w:rPr>
          </w:pPr>
          <w:hyperlink w:history="1" w:anchor="_Toc6745193">
            <w:r w:rsidRPr="00EB3C48" w:rsidR="009732B5">
              <w:rPr>
                <w:rStyle w:val="Hyperlink"/>
                <w:noProof/>
              </w:rPr>
              <w:t>7.</w:t>
            </w:r>
            <w:r w:rsidR="009732B5">
              <w:rPr>
                <w:rFonts w:asciiTheme="minorHAnsi" w:hAnsiTheme="minorHAnsi" w:eastAsiaTheme="minorEastAsia"/>
                <w:noProof/>
                <w:lang w:eastAsia="en-GB"/>
              </w:rPr>
              <w:tab/>
            </w:r>
            <w:r w:rsidRPr="00EB3C48" w:rsidR="009732B5">
              <w:rPr>
                <w:rStyle w:val="Hyperlink"/>
                <w:noProof/>
              </w:rPr>
              <w:t>What Information is Covered?</w:t>
            </w:r>
            <w:r w:rsidR="009732B5">
              <w:rPr>
                <w:noProof/>
                <w:webHidden/>
              </w:rPr>
              <w:tab/>
            </w:r>
            <w:r w:rsidR="009732B5">
              <w:rPr>
                <w:noProof/>
                <w:webHidden/>
              </w:rPr>
              <w:fldChar w:fldCharType="begin"/>
            </w:r>
            <w:r w:rsidR="009732B5">
              <w:rPr>
                <w:noProof/>
                <w:webHidden/>
              </w:rPr>
              <w:instrText xml:space="preserve"> PAGEREF _Toc6745193 \h </w:instrText>
            </w:r>
            <w:r w:rsidR="009732B5">
              <w:rPr>
                <w:noProof/>
                <w:webHidden/>
              </w:rPr>
            </w:r>
            <w:r w:rsidR="009732B5">
              <w:rPr>
                <w:noProof/>
                <w:webHidden/>
              </w:rPr>
              <w:fldChar w:fldCharType="separate"/>
            </w:r>
            <w:r w:rsidR="009732B5">
              <w:rPr>
                <w:noProof/>
                <w:webHidden/>
              </w:rPr>
              <w:t>4</w:t>
            </w:r>
            <w:r w:rsidR="009732B5">
              <w:rPr>
                <w:noProof/>
                <w:webHidden/>
              </w:rPr>
              <w:fldChar w:fldCharType="end"/>
            </w:r>
          </w:hyperlink>
        </w:p>
        <w:p w:rsidR="009732B5" w:rsidRDefault="00176159" w14:paraId="68AAE34D" w14:textId="68A4D770">
          <w:pPr>
            <w:pStyle w:val="TOC1"/>
            <w:tabs>
              <w:tab w:val="left" w:pos="440"/>
              <w:tab w:val="right" w:leader="dot" w:pos="9016"/>
            </w:tabs>
            <w:rPr>
              <w:rFonts w:asciiTheme="minorHAnsi" w:hAnsiTheme="minorHAnsi" w:eastAsiaTheme="minorEastAsia"/>
              <w:noProof/>
              <w:lang w:eastAsia="en-GB"/>
            </w:rPr>
          </w:pPr>
          <w:hyperlink w:history="1" w:anchor="_Toc6745194">
            <w:r w:rsidRPr="00EB3C48" w:rsidR="009732B5">
              <w:rPr>
                <w:rStyle w:val="Hyperlink"/>
                <w:noProof/>
              </w:rPr>
              <w:t>8.</w:t>
            </w:r>
            <w:r w:rsidR="009732B5">
              <w:rPr>
                <w:rFonts w:asciiTheme="minorHAnsi" w:hAnsiTheme="minorHAnsi" w:eastAsiaTheme="minorEastAsia"/>
                <w:noProof/>
                <w:lang w:eastAsia="en-GB"/>
              </w:rPr>
              <w:tab/>
            </w:r>
            <w:r w:rsidRPr="00EB3C48" w:rsidR="009732B5">
              <w:rPr>
                <w:rStyle w:val="Hyperlink"/>
                <w:noProof/>
              </w:rPr>
              <w:t>What is a Record?</w:t>
            </w:r>
            <w:r w:rsidR="009732B5">
              <w:rPr>
                <w:noProof/>
                <w:webHidden/>
              </w:rPr>
              <w:tab/>
            </w:r>
            <w:r w:rsidR="009732B5">
              <w:rPr>
                <w:noProof/>
                <w:webHidden/>
              </w:rPr>
              <w:fldChar w:fldCharType="begin"/>
            </w:r>
            <w:r w:rsidR="009732B5">
              <w:rPr>
                <w:noProof/>
                <w:webHidden/>
              </w:rPr>
              <w:instrText xml:space="preserve"> PAGEREF _Toc6745194 \h </w:instrText>
            </w:r>
            <w:r w:rsidR="009732B5">
              <w:rPr>
                <w:noProof/>
                <w:webHidden/>
              </w:rPr>
            </w:r>
            <w:r w:rsidR="009732B5">
              <w:rPr>
                <w:noProof/>
                <w:webHidden/>
              </w:rPr>
              <w:fldChar w:fldCharType="separate"/>
            </w:r>
            <w:r w:rsidR="009732B5">
              <w:rPr>
                <w:noProof/>
                <w:webHidden/>
              </w:rPr>
              <w:t>4</w:t>
            </w:r>
            <w:r w:rsidR="009732B5">
              <w:rPr>
                <w:noProof/>
                <w:webHidden/>
              </w:rPr>
              <w:fldChar w:fldCharType="end"/>
            </w:r>
          </w:hyperlink>
        </w:p>
        <w:p w:rsidR="009732B5" w:rsidRDefault="00176159" w14:paraId="7EDEF2C9" w14:textId="1AD3139B">
          <w:pPr>
            <w:pStyle w:val="TOC1"/>
            <w:tabs>
              <w:tab w:val="left" w:pos="440"/>
              <w:tab w:val="right" w:leader="dot" w:pos="9016"/>
            </w:tabs>
            <w:rPr>
              <w:rFonts w:asciiTheme="minorHAnsi" w:hAnsiTheme="minorHAnsi" w:eastAsiaTheme="minorEastAsia"/>
              <w:noProof/>
              <w:lang w:eastAsia="en-GB"/>
            </w:rPr>
          </w:pPr>
          <w:hyperlink w:history="1" w:anchor="_Toc6745195">
            <w:r w:rsidRPr="00EB3C48" w:rsidR="009732B5">
              <w:rPr>
                <w:rStyle w:val="Hyperlink"/>
                <w:noProof/>
              </w:rPr>
              <w:t>9.</w:t>
            </w:r>
            <w:r w:rsidR="009732B5">
              <w:rPr>
                <w:rFonts w:asciiTheme="minorHAnsi" w:hAnsiTheme="minorHAnsi" w:eastAsiaTheme="minorEastAsia"/>
                <w:noProof/>
                <w:lang w:eastAsia="en-GB"/>
              </w:rPr>
              <w:tab/>
            </w:r>
            <w:r w:rsidRPr="00EB3C48" w:rsidR="009732B5">
              <w:rPr>
                <w:rStyle w:val="Hyperlink"/>
                <w:noProof/>
              </w:rPr>
              <w:t>Creation</w:t>
            </w:r>
            <w:r w:rsidR="009732B5">
              <w:rPr>
                <w:noProof/>
                <w:webHidden/>
              </w:rPr>
              <w:tab/>
            </w:r>
            <w:r w:rsidR="009732B5">
              <w:rPr>
                <w:noProof/>
                <w:webHidden/>
              </w:rPr>
              <w:fldChar w:fldCharType="begin"/>
            </w:r>
            <w:r w:rsidR="009732B5">
              <w:rPr>
                <w:noProof/>
                <w:webHidden/>
              </w:rPr>
              <w:instrText xml:space="preserve"> PAGEREF _Toc6745195 \h </w:instrText>
            </w:r>
            <w:r w:rsidR="009732B5">
              <w:rPr>
                <w:noProof/>
                <w:webHidden/>
              </w:rPr>
            </w:r>
            <w:r w:rsidR="009732B5">
              <w:rPr>
                <w:noProof/>
                <w:webHidden/>
              </w:rPr>
              <w:fldChar w:fldCharType="separate"/>
            </w:r>
            <w:r w:rsidR="009732B5">
              <w:rPr>
                <w:noProof/>
                <w:webHidden/>
              </w:rPr>
              <w:t>5</w:t>
            </w:r>
            <w:r w:rsidR="009732B5">
              <w:rPr>
                <w:noProof/>
                <w:webHidden/>
              </w:rPr>
              <w:fldChar w:fldCharType="end"/>
            </w:r>
          </w:hyperlink>
        </w:p>
        <w:p w:rsidR="009732B5" w:rsidRDefault="00176159" w14:paraId="4A1505DA" w14:textId="1447AD75">
          <w:pPr>
            <w:pStyle w:val="TOC1"/>
            <w:tabs>
              <w:tab w:val="left" w:pos="660"/>
              <w:tab w:val="right" w:leader="dot" w:pos="9016"/>
            </w:tabs>
            <w:rPr>
              <w:rFonts w:asciiTheme="minorHAnsi" w:hAnsiTheme="minorHAnsi" w:eastAsiaTheme="minorEastAsia"/>
              <w:noProof/>
              <w:lang w:eastAsia="en-GB"/>
            </w:rPr>
          </w:pPr>
          <w:hyperlink w:history="1" w:anchor="_Toc6745196">
            <w:r w:rsidRPr="00EB3C48" w:rsidR="009732B5">
              <w:rPr>
                <w:rStyle w:val="Hyperlink"/>
                <w:noProof/>
              </w:rPr>
              <w:t>10.</w:t>
            </w:r>
            <w:r w:rsidR="009732B5">
              <w:rPr>
                <w:rFonts w:asciiTheme="minorHAnsi" w:hAnsiTheme="minorHAnsi" w:eastAsiaTheme="minorEastAsia"/>
                <w:noProof/>
                <w:lang w:eastAsia="en-GB"/>
              </w:rPr>
              <w:tab/>
            </w:r>
            <w:r w:rsidRPr="00EB3C48" w:rsidR="009732B5">
              <w:rPr>
                <w:rStyle w:val="Hyperlink"/>
                <w:noProof/>
              </w:rPr>
              <w:t>Using / Storage</w:t>
            </w:r>
            <w:r w:rsidR="009732B5">
              <w:rPr>
                <w:noProof/>
                <w:webHidden/>
              </w:rPr>
              <w:tab/>
            </w:r>
            <w:r w:rsidR="009732B5">
              <w:rPr>
                <w:noProof/>
                <w:webHidden/>
              </w:rPr>
              <w:fldChar w:fldCharType="begin"/>
            </w:r>
            <w:r w:rsidR="009732B5">
              <w:rPr>
                <w:noProof/>
                <w:webHidden/>
              </w:rPr>
              <w:instrText xml:space="preserve"> PAGEREF _Toc6745196 \h </w:instrText>
            </w:r>
            <w:r w:rsidR="009732B5">
              <w:rPr>
                <w:noProof/>
                <w:webHidden/>
              </w:rPr>
            </w:r>
            <w:r w:rsidR="009732B5">
              <w:rPr>
                <w:noProof/>
                <w:webHidden/>
              </w:rPr>
              <w:fldChar w:fldCharType="separate"/>
            </w:r>
            <w:r w:rsidR="009732B5">
              <w:rPr>
                <w:noProof/>
                <w:webHidden/>
              </w:rPr>
              <w:t>6</w:t>
            </w:r>
            <w:r w:rsidR="009732B5">
              <w:rPr>
                <w:noProof/>
                <w:webHidden/>
              </w:rPr>
              <w:fldChar w:fldCharType="end"/>
            </w:r>
          </w:hyperlink>
        </w:p>
        <w:p w:rsidR="009732B5" w:rsidRDefault="00176159" w14:paraId="238E475A" w14:textId="530B6561">
          <w:pPr>
            <w:pStyle w:val="TOC1"/>
            <w:tabs>
              <w:tab w:val="left" w:pos="660"/>
              <w:tab w:val="right" w:leader="dot" w:pos="9016"/>
            </w:tabs>
            <w:rPr>
              <w:rFonts w:asciiTheme="minorHAnsi" w:hAnsiTheme="minorHAnsi" w:eastAsiaTheme="minorEastAsia"/>
              <w:noProof/>
              <w:lang w:eastAsia="en-GB"/>
            </w:rPr>
          </w:pPr>
          <w:hyperlink w:history="1" w:anchor="_Toc6745197">
            <w:r w:rsidRPr="00EB3C48" w:rsidR="009732B5">
              <w:rPr>
                <w:rStyle w:val="Hyperlink"/>
                <w:noProof/>
              </w:rPr>
              <w:t>11.</w:t>
            </w:r>
            <w:r w:rsidR="009732B5">
              <w:rPr>
                <w:rFonts w:asciiTheme="minorHAnsi" w:hAnsiTheme="minorHAnsi" w:eastAsiaTheme="minorEastAsia"/>
                <w:noProof/>
                <w:lang w:eastAsia="en-GB"/>
              </w:rPr>
              <w:tab/>
            </w:r>
            <w:r w:rsidRPr="00EB3C48" w:rsidR="009732B5">
              <w:rPr>
                <w:rStyle w:val="Hyperlink"/>
                <w:noProof/>
              </w:rPr>
              <w:t>Retention</w:t>
            </w:r>
            <w:r w:rsidR="009732B5">
              <w:rPr>
                <w:noProof/>
                <w:webHidden/>
              </w:rPr>
              <w:tab/>
            </w:r>
            <w:r w:rsidR="009732B5">
              <w:rPr>
                <w:noProof/>
                <w:webHidden/>
              </w:rPr>
              <w:fldChar w:fldCharType="begin"/>
            </w:r>
            <w:r w:rsidR="009732B5">
              <w:rPr>
                <w:noProof/>
                <w:webHidden/>
              </w:rPr>
              <w:instrText xml:space="preserve"> PAGEREF _Toc6745197 \h </w:instrText>
            </w:r>
            <w:r w:rsidR="009732B5">
              <w:rPr>
                <w:noProof/>
                <w:webHidden/>
              </w:rPr>
            </w:r>
            <w:r w:rsidR="009732B5">
              <w:rPr>
                <w:noProof/>
                <w:webHidden/>
              </w:rPr>
              <w:fldChar w:fldCharType="separate"/>
            </w:r>
            <w:r w:rsidR="009732B5">
              <w:rPr>
                <w:noProof/>
                <w:webHidden/>
              </w:rPr>
              <w:t>7</w:t>
            </w:r>
            <w:r w:rsidR="009732B5">
              <w:rPr>
                <w:noProof/>
                <w:webHidden/>
              </w:rPr>
              <w:fldChar w:fldCharType="end"/>
            </w:r>
          </w:hyperlink>
        </w:p>
        <w:p w:rsidR="009732B5" w:rsidRDefault="00176159" w14:paraId="2454024B" w14:textId="310DCB06">
          <w:pPr>
            <w:pStyle w:val="TOC1"/>
            <w:tabs>
              <w:tab w:val="left" w:pos="660"/>
              <w:tab w:val="right" w:leader="dot" w:pos="9016"/>
            </w:tabs>
            <w:rPr>
              <w:rFonts w:asciiTheme="minorHAnsi" w:hAnsiTheme="minorHAnsi" w:eastAsiaTheme="minorEastAsia"/>
              <w:noProof/>
              <w:lang w:eastAsia="en-GB"/>
            </w:rPr>
          </w:pPr>
          <w:hyperlink w:history="1" w:anchor="_Toc6745198">
            <w:r w:rsidRPr="00EB3C48" w:rsidR="009732B5">
              <w:rPr>
                <w:rStyle w:val="Hyperlink"/>
                <w:noProof/>
              </w:rPr>
              <w:t>12.</w:t>
            </w:r>
            <w:r w:rsidR="009732B5">
              <w:rPr>
                <w:rFonts w:asciiTheme="minorHAnsi" w:hAnsiTheme="minorHAnsi" w:eastAsiaTheme="minorEastAsia"/>
                <w:noProof/>
                <w:lang w:eastAsia="en-GB"/>
              </w:rPr>
              <w:tab/>
            </w:r>
            <w:r w:rsidRPr="00EB3C48" w:rsidR="009732B5">
              <w:rPr>
                <w:rStyle w:val="Hyperlink"/>
                <w:noProof/>
              </w:rPr>
              <w:t>Destruction</w:t>
            </w:r>
            <w:r w:rsidR="009732B5">
              <w:rPr>
                <w:noProof/>
                <w:webHidden/>
              </w:rPr>
              <w:tab/>
            </w:r>
            <w:r w:rsidR="009732B5">
              <w:rPr>
                <w:noProof/>
                <w:webHidden/>
              </w:rPr>
              <w:fldChar w:fldCharType="begin"/>
            </w:r>
            <w:r w:rsidR="009732B5">
              <w:rPr>
                <w:noProof/>
                <w:webHidden/>
              </w:rPr>
              <w:instrText xml:space="preserve"> PAGEREF _Toc6745198 \h </w:instrText>
            </w:r>
            <w:r w:rsidR="009732B5">
              <w:rPr>
                <w:noProof/>
                <w:webHidden/>
              </w:rPr>
            </w:r>
            <w:r w:rsidR="009732B5">
              <w:rPr>
                <w:noProof/>
                <w:webHidden/>
              </w:rPr>
              <w:fldChar w:fldCharType="separate"/>
            </w:r>
            <w:r w:rsidR="009732B5">
              <w:rPr>
                <w:noProof/>
                <w:webHidden/>
              </w:rPr>
              <w:t>7</w:t>
            </w:r>
            <w:r w:rsidR="009732B5">
              <w:rPr>
                <w:noProof/>
                <w:webHidden/>
              </w:rPr>
              <w:fldChar w:fldCharType="end"/>
            </w:r>
          </w:hyperlink>
        </w:p>
        <w:p w:rsidR="009732B5" w:rsidRDefault="00176159" w14:paraId="45E8AC5F" w14:textId="7C41A7B4">
          <w:pPr>
            <w:pStyle w:val="TOC1"/>
            <w:tabs>
              <w:tab w:val="left" w:pos="660"/>
              <w:tab w:val="right" w:leader="dot" w:pos="9016"/>
            </w:tabs>
            <w:rPr>
              <w:rFonts w:asciiTheme="minorHAnsi" w:hAnsiTheme="minorHAnsi" w:eastAsiaTheme="minorEastAsia"/>
              <w:noProof/>
              <w:lang w:eastAsia="en-GB"/>
            </w:rPr>
          </w:pPr>
          <w:hyperlink w:history="1" w:anchor="_Toc6745199">
            <w:r w:rsidRPr="00EB3C48" w:rsidR="009732B5">
              <w:rPr>
                <w:rStyle w:val="Hyperlink"/>
                <w:noProof/>
              </w:rPr>
              <w:t>13.</w:t>
            </w:r>
            <w:r w:rsidR="009732B5">
              <w:rPr>
                <w:rFonts w:asciiTheme="minorHAnsi" w:hAnsiTheme="minorHAnsi" w:eastAsiaTheme="minorEastAsia"/>
                <w:noProof/>
                <w:lang w:eastAsia="en-GB"/>
              </w:rPr>
              <w:tab/>
            </w:r>
            <w:r w:rsidRPr="00EB3C48" w:rsidR="009732B5">
              <w:rPr>
                <w:rStyle w:val="Hyperlink"/>
                <w:noProof/>
              </w:rPr>
              <w:t>General Practitioner Records</w:t>
            </w:r>
            <w:r w:rsidR="009732B5">
              <w:rPr>
                <w:noProof/>
                <w:webHidden/>
              </w:rPr>
              <w:tab/>
            </w:r>
            <w:r w:rsidR="009732B5">
              <w:rPr>
                <w:noProof/>
                <w:webHidden/>
              </w:rPr>
              <w:fldChar w:fldCharType="begin"/>
            </w:r>
            <w:r w:rsidR="009732B5">
              <w:rPr>
                <w:noProof/>
                <w:webHidden/>
              </w:rPr>
              <w:instrText xml:space="preserve"> PAGEREF _Toc6745199 \h </w:instrText>
            </w:r>
            <w:r w:rsidR="009732B5">
              <w:rPr>
                <w:noProof/>
                <w:webHidden/>
              </w:rPr>
            </w:r>
            <w:r w:rsidR="009732B5">
              <w:rPr>
                <w:noProof/>
                <w:webHidden/>
              </w:rPr>
              <w:fldChar w:fldCharType="separate"/>
            </w:r>
            <w:r w:rsidR="009732B5">
              <w:rPr>
                <w:noProof/>
                <w:webHidden/>
              </w:rPr>
              <w:t>8</w:t>
            </w:r>
            <w:r w:rsidR="009732B5">
              <w:rPr>
                <w:noProof/>
                <w:webHidden/>
              </w:rPr>
              <w:fldChar w:fldCharType="end"/>
            </w:r>
          </w:hyperlink>
        </w:p>
        <w:p w:rsidR="009732B5" w:rsidRDefault="00176159" w14:paraId="0A298A0A" w14:textId="54F2EA71">
          <w:pPr>
            <w:pStyle w:val="TOC1"/>
            <w:tabs>
              <w:tab w:val="left" w:pos="660"/>
              <w:tab w:val="right" w:leader="dot" w:pos="9016"/>
            </w:tabs>
            <w:rPr>
              <w:rFonts w:asciiTheme="minorHAnsi" w:hAnsiTheme="minorHAnsi" w:eastAsiaTheme="minorEastAsia"/>
              <w:noProof/>
              <w:lang w:eastAsia="en-GB"/>
            </w:rPr>
          </w:pPr>
          <w:hyperlink w:history="1" w:anchor="_Toc6745200">
            <w:r w:rsidRPr="00EB3C48" w:rsidR="009732B5">
              <w:rPr>
                <w:rStyle w:val="Hyperlink"/>
                <w:noProof/>
              </w:rPr>
              <w:t>14.</w:t>
            </w:r>
            <w:r w:rsidR="009732B5">
              <w:rPr>
                <w:rFonts w:asciiTheme="minorHAnsi" w:hAnsiTheme="minorHAnsi" w:eastAsiaTheme="minorEastAsia"/>
                <w:noProof/>
                <w:lang w:eastAsia="en-GB"/>
              </w:rPr>
              <w:tab/>
            </w:r>
            <w:r w:rsidRPr="00EB3C48" w:rsidR="009732B5">
              <w:rPr>
                <w:rStyle w:val="Hyperlink"/>
                <w:noProof/>
              </w:rPr>
              <w:t>Change of Contract / Service Provider</w:t>
            </w:r>
            <w:r w:rsidR="009732B5">
              <w:rPr>
                <w:noProof/>
                <w:webHidden/>
              </w:rPr>
              <w:tab/>
            </w:r>
            <w:r w:rsidR="009732B5">
              <w:rPr>
                <w:noProof/>
                <w:webHidden/>
              </w:rPr>
              <w:fldChar w:fldCharType="begin"/>
            </w:r>
            <w:r w:rsidR="009732B5">
              <w:rPr>
                <w:noProof/>
                <w:webHidden/>
              </w:rPr>
              <w:instrText xml:space="preserve"> PAGEREF _Toc6745200 \h </w:instrText>
            </w:r>
            <w:r w:rsidR="009732B5">
              <w:rPr>
                <w:noProof/>
                <w:webHidden/>
              </w:rPr>
            </w:r>
            <w:r w:rsidR="009732B5">
              <w:rPr>
                <w:noProof/>
                <w:webHidden/>
              </w:rPr>
              <w:fldChar w:fldCharType="separate"/>
            </w:r>
            <w:r w:rsidR="009732B5">
              <w:rPr>
                <w:noProof/>
                <w:webHidden/>
              </w:rPr>
              <w:t>9</w:t>
            </w:r>
            <w:r w:rsidR="009732B5">
              <w:rPr>
                <w:noProof/>
                <w:webHidden/>
              </w:rPr>
              <w:fldChar w:fldCharType="end"/>
            </w:r>
          </w:hyperlink>
        </w:p>
        <w:p w:rsidR="009732B5" w:rsidRDefault="00176159" w14:paraId="76A146B8" w14:textId="508A1DFF">
          <w:pPr>
            <w:pStyle w:val="TOC1"/>
            <w:tabs>
              <w:tab w:val="left" w:pos="660"/>
              <w:tab w:val="right" w:leader="dot" w:pos="9016"/>
            </w:tabs>
            <w:rPr>
              <w:rFonts w:asciiTheme="minorHAnsi" w:hAnsiTheme="minorHAnsi" w:eastAsiaTheme="minorEastAsia"/>
              <w:noProof/>
              <w:lang w:eastAsia="en-GB"/>
            </w:rPr>
          </w:pPr>
          <w:hyperlink w:history="1" w:anchor="_Toc6745201">
            <w:r w:rsidRPr="00EB3C48" w:rsidR="009732B5">
              <w:rPr>
                <w:rStyle w:val="Hyperlink"/>
                <w:noProof/>
              </w:rPr>
              <w:t>15.</w:t>
            </w:r>
            <w:r w:rsidR="009732B5">
              <w:rPr>
                <w:rFonts w:asciiTheme="minorHAnsi" w:hAnsiTheme="minorHAnsi" w:eastAsiaTheme="minorEastAsia"/>
                <w:noProof/>
                <w:lang w:eastAsia="en-GB"/>
              </w:rPr>
              <w:tab/>
            </w:r>
            <w:r w:rsidRPr="00EB3C48" w:rsidR="009732B5">
              <w:rPr>
                <w:rStyle w:val="Hyperlink"/>
                <w:noProof/>
              </w:rPr>
              <w:t>National Data Standards</w:t>
            </w:r>
            <w:r w:rsidR="009732B5">
              <w:rPr>
                <w:noProof/>
                <w:webHidden/>
              </w:rPr>
              <w:tab/>
            </w:r>
            <w:r w:rsidR="009732B5">
              <w:rPr>
                <w:noProof/>
                <w:webHidden/>
              </w:rPr>
              <w:fldChar w:fldCharType="begin"/>
            </w:r>
            <w:r w:rsidR="009732B5">
              <w:rPr>
                <w:noProof/>
                <w:webHidden/>
              </w:rPr>
              <w:instrText xml:space="preserve"> PAGEREF _Toc6745201 \h </w:instrText>
            </w:r>
            <w:r w:rsidR="009732B5">
              <w:rPr>
                <w:noProof/>
                <w:webHidden/>
              </w:rPr>
            </w:r>
            <w:r w:rsidR="009732B5">
              <w:rPr>
                <w:noProof/>
                <w:webHidden/>
              </w:rPr>
              <w:fldChar w:fldCharType="separate"/>
            </w:r>
            <w:r w:rsidR="009732B5">
              <w:rPr>
                <w:noProof/>
                <w:webHidden/>
              </w:rPr>
              <w:t>9</w:t>
            </w:r>
            <w:r w:rsidR="009732B5">
              <w:rPr>
                <w:noProof/>
                <w:webHidden/>
              </w:rPr>
              <w:fldChar w:fldCharType="end"/>
            </w:r>
          </w:hyperlink>
        </w:p>
        <w:p w:rsidR="009732B5" w:rsidRDefault="00176159" w14:paraId="2422FDAD" w14:textId="374E816E">
          <w:pPr>
            <w:pStyle w:val="TOC1"/>
            <w:tabs>
              <w:tab w:val="left" w:pos="660"/>
              <w:tab w:val="right" w:leader="dot" w:pos="9016"/>
            </w:tabs>
            <w:rPr>
              <w:rFonts w:asciiTheme="minorHAnsi" w:hAnsiTheme="minorHAnsi" w:eastAsiaTheme="minorEastAsia"/>
              <w:noProof/>
              <w:lang w:eastAsia="en-GB"/>
            </w:rPr>
          </w:pPr>
          <w:hyperlink w:history="1" w:anchor="_Toc6745202">
            <w:r w:rsidRPr="00EB3C48" w:rsidR="009732B5">
              <w:rPr>
                <w:rStyle w:val="Hyperlink"/>
                <w:noProof/>
              </w:rPr>
              <w:t>16.</w:t>
            </w:r>
            <w:r w:rsidR="009732B5">
              <w:rPr>
                <w:rFonts w:asciiTheme="minorHAnsi" w:hAnsiTheme="minorHAnsi" w:eastAsiaTheme="minorEastAsia"/>
                <w:noProof/>
                <w:lang w:eastAsia="en-GB"/>
              </w:rPr>
              <w:tab/>
            </w:r>
            <w:r w:rsidRPr="00EB3C48" w:rsidR="009732B5">
              <w:rPr>
                <w:rStyle w:val="Hyperlink"/>
                <w:noProof/>
              </w:rPr>
              <w:t>NHS Number</w:t>
            </w:r>
            <w:r w:rsidR="009732B5">
              <w:rPr>
                <w:noProof/>
                <w:webHidden/>
              </w:rPr>
              <w:tab/>
            </w:r>
            <w:r w:rsidR="009732B5">
              <w:rPr>
                <w:noProof/>
                <w:webHidden/>
              </w:rPr>
              <w:fldChar w:fldCharType="begin"/>
            </w:r>
            <w:r w:rsidR="009732B5">
              <w:rPr>
                <w:noProof/>
                <w:webHidden/>
              </w:rPr>
              <w:instrText xml:space="preserve"> PAGEREF _Toc6745202 \h </w:instrText>
            </w:r>
            <w:r w:rsidR="009732B5">
              <w:rPr>
                <w:noProof/>
                <w:webHidden/>
              </w:rPr>
            </w:r>
            <w:r w:rsidR="009732B5">
              <w:rPr>
                <w:noProof/>
                <w:webHidden/>
              </w:rPr>
              <w:fldChar w:fldCharType="separate"/>
            </w:r>
            <w:r w:rsidR="009732B5">
              <w:rPr>
                <w:noProof/>
                <w:webHidden/>
              </w:rPr>
              <w:t>9</w:t>
            </w:r>
            <w:r w:rsidR="009732B5">
              <w:rPr>
                <w:noProof/>
                <w:webHidden/>
              </w:rPr>
              <w:fldChar w:fldCharType="end"/>
            </w:r>
          </w:hyperlink>
        </w:p>
        <w:p w:rsidR="009732B5" w:rsidRDefault="00176159" w14:paraId="6D6AA100" w14:textId="532688E1">
          <w:pPr>
            <w:pStyle w:val="TOC1"/>
            <w:tabs>
              <w:tab w:val="left" w:pos="660"/>
              <w:tab w:val="right" w:leader="dot" w:pos="9016"/>
            </w:tabs>
            <w:rPr>
              <w:rFonts w:asciiTheme="minorHAnsi" w:hAnsiTheme="minorHAnsi" w:eastAsiaTheme="minorEastAsia"/>
              <w:noProof/>
              <w:lang w:eastAsia="en-GB"/>
            </w:rPr>
          </w:pPr>
          <w:hyperlink w:history="1" w:anchor="_Toc6745203">
            <w:r w:rsidRPr="00EB3C48" w:rsidR="009732B5">
              <w:rPr>
                <w:rStyle w:val="Hyperlink"/>
                <w:noProof/>
              </w:rPr>
              <w:t>17.</w:t>
            </w:r>
            <w:r w:rsidR="009732B5">
              <w:rPr>
                <w:rFonts w:asciiTheme="minorHAnsi" w:hAnsiTheme="minorHAnsi" w:eastAsiaTheme="minorEastAsia"/>
                <w:noProof/>
                <w:lang w:eastAsia="en-GB"/>
              </w:rPr>
              <w:tab/>
            </w:r>
            <w:r w:rsidRPr="00EB3C48" w:rsidR="009732B5">
              <w:rPr>
                <w:rStyle w:val="Hyperlink"/>
                <w:noProof/>
              </w:rPr>
              <w:t>Accuracy and Quality</w:t>
            </w:r>
            <w:r w:rsidR="009732B5">
              <w:rPr>
                <w:noProof/>
                <w:webHidden/>
              </w:rPr>
              <w:tab/>
            </w:r>
            <w:r w:rsidR="009732B5">
              <w:rPr>
                <w:noProof/>
                <w:webHidden/>
              </w:rPr>
              <w:fldChar w:fldCharType="begin"/>
            </w:r>
            <w:r w:rsidR="009732B5">
              <w:rPr>
                <w:noProof/>
                <w:webHidden/>
              </w:rPr>
              <w:instrText xml:space="preserve"> PAGEREF _Toc6745203 \h </w:instrText>
            </w:r>
            <w:r w:rsidR="009732B5">
              <w:rPr>
                <w:noProof/>
                <w:webHidden/>
              </w:rPr>
            </w:r>
            <w:r w:rsidR="009732B5">
              <w:rPr>
                <w:noProof/>
                <w:webHidden/>
              </w:rPr>
              <w:fldChar w:fldCharType="separate"/>
            </w:r>
            <w:r w:rsidR="009732B5">
              <w:rPr>
                <w:noProof/>
                <w:webHidden/>
              </w:rPr>
              <w:t>10</w:t>
            </w:r>
            <w:r w:rsidR="009732B5">
              <w:rPr>
                <w:noProof/>
                <w:webHidden/>
              </w:rPr>
              <w:fldChar w:fldCharType="end"/>
            </w:r>
          </w:hyperlink>
        </w:p>
        <w:p w:rsidR="009732B5" w:rsidRDefault="00176159" w14:paraId="2EAF5DF5" w14:textId="2EAA16AB">
          <w:pPr>
            <w:pStyle w:val="TOC1"/>
            <w:tabs>
              <w:tab w:val="left" w:pos="660"/>
              <w:tab w:val="right" w:leader="dot" w:pos="9016"/>
            </w:tabs>
            <w:rPr>
              <w:rFonts w:asciiTheme="minorHAnsi" w:hAnsiTheme="minorHAnsi" w:eastAsiaTheme="minorEastAsia"/>
              <w:noProof/>
              <w:lang w:eastAsia="en-GB"/>
            </w:rPr>
          </w:pPr>
          <w:hyperlink w:history="1" w:anchor="_Toc6745204">
            <w:r w:rsidRPr="00EB3C48" w:rsidR="009732B5">
              <w:rPr>
                <w:rStyle w:val="Hyperlink"/>
                <w:noProof/>
              </w:rPr>
              <w:t>18.</w:t>
            </w:r>
            <w:r w:rsidR="009732B5">
              <w:rPr>
                <w:rFonts w:asciiTheme="minorHAnsi" w:hAnsiTheme="minorHAnsi" w:eastAsiaTheme="minorEastAsia"/>
                <w:noProof/>
                <w:lang w:eastAsia="en-GB"/>
              </w:rPr>
              <w:tab/>
            </w:r>
            <w:r w:rsidRPr="00EB3C48" w:rsidR="009732B5">
              <w:rPr>
                <w:rStyle w:val="Hyperlink"/>
                <w:noProof/>
              </w:rPr>
              <w:t>Information Incidents</w:t>
            </w:r>
            <w:r w:rsidR="009732B5">
              <w:rPr>
                <w:noProof/>
                <w:webHidden/>
              </w:rPr>
              <w:tab/>
            </w:r>
            <w:r w:rsidR="009732B5">
              <w:rPr>
                <w:noProof/>
                <w:webHidden/>
              </w:rPr>
              <w:fldChar w:fldCharType="begin"/>
            </w:r>
            <w:r w:rsidR="009732B5">
              <w:rPr>
                <w:noProof/>
                <w:webHidden/>
              </w:rPr>
              <w:instrText xml:space="preserve"> PAGEREF _Toc6745204 \h </w:instrText>
            </w:r>
            <w:r w:rsidR="009732B5">
              <w:rPr>
                <w:noProof/>
                <w:webHidden/>
              </w:rPr>
            </w:r>
            <w:r w:rsidR="009732B5">
              <w:rPr>
                <w:noProof/>
                <w:webHidden/>
              </w:rPr>
              <w:fldChar w:fldCharType="separate"/>
            </w:r>
            <w:r w:rsidR="009732B5">
              <w:rPr>
                <w:noProof/>
                <w:webHidden/>
              </w:rPr>
              <w:t>11</w:t>
            </w:r>
            <w:r w:rsidR="009732B5">
              <w:rPr>
                <w:noProof/>
                <w:webHidden/>
              </w:rPr>
              <w:fldChar w:fldCharType="end"/>
            </w:r>
          </w:hyperlink>
        </w:p>
        <w:p w:rsidR="009732B5" w:rsidRDefault="00176159" w14:paraId="18B45BA5" w14:textId="5410FE77">
          <w:pPr>
            <w:pStyle w:val="TOC1"/>
            <w:tabs>
              <w:tab w:val="left" w:pos="660"/>
              <w:tab w:val="right" w:leader="dot" w:pos="9016"/>
            </w:tabs>
            <w:rPr>
              <w:rFonts w:asciiTheme="minorHAnsi" w:hAnsiTheme="minorHAnsi" w:eastAsiaTheme="minorEastAsia"/>
              <w:noProof/>
              <w:lang w:eastAsia="en-GB"/>
            </w:rPr>
          </w:pPr>
          <w:hyperlink w:history="1" w:anchor="_Toc6745205">
            <w:r w:rsidRPr="00EB3C48" w:rsidR="009732B5">
              <w:rPr>
                <w:rStyle w:val="Hyperlink"/>
                <w:noProof/>
              </w:rPr>
              <w:t>19.</w:t>
            </w:r>
            <w:r w:rsidR="009732B5">
              <w:rPr>
                <w:rFonts w:asciiTheme="minorHAnsi" w:hAnsiTheme="minorHAnsi" w:eastAsiaTheme="minorEastAsia"/>
                <w:noProof/>
                <w:lang w:eastAsia="en-GB"/>
              </w:rPr>
              <w:tab/>
            </w:r>
            <w:r w:rsidRPr="00EB3C48" w:rsidR="009732B5">
              <w:rPr>
                <w:rStyle w:val="Hyperlink"/>
                <w:noProof/>
              </w:rPr>
              <w:t>Associated Protocols</w:t>
            </w:r>
            <w:r w:rsidR="009732B5">
              <w:rPr>
                <w:noProof/>
                <w:webHidden/>
              </w:rPr>
              <w:tab/>
            </w:r>
            <w:r w:rsidR="009732B5">
              <w:rPr>
                <w:noProof/>
                <w:webHidden/>
              </w:rPr>
              <w:fldChar w:fldCharType="begin"/>
            </w:r>
            <w:r w:rsidR="009732B5">
              <w:rPr>
                <w:noProof/>
                <w:webHidden/>
              </w:rPr>
              <w:instrText xml:space="preserve"> PAGEREF _Toc6745205 \h </w:instrText>
            </w:r>
            <w:r w:rsidR="009732B5">
              <w:rPr>
                <w:noProof/>
                <w:webHidden/>
              </w:rPr>
            </w:r>
            <w:r w:rsidR="009732B5">
              <w:rPr>
                <w:noProof/>
                <w:webHidden/>
              </w:rPr>
              <w:fldChar w:fldCharType="separate"/>
            </w:r>
            <w:r w:rsidR="009732B5">
              <w:rPr>
                <w:noProof/>
                <w:webHidden/>
              </w:rPr>
              <w:t>11</w:t>
            </w:r>
            <w:r w:rsidR="009732B5">
              <w:rPr>
                <w:noProof/>
                <w:webHidden/>
              </w:rPr>
              <w:fldChar w:fldCharType="end"/>
            </w:r>
          </w:hyperlink>
        </w:p>
        <w:p w:rsidR="009732B5" w:rsidRDefault="00176159" w14:paraId="5A2C8209" w14:textId="41998CB2">
          <w:pPr>
            <w:pStyle w:val="TOC1"/>
            <w:tabs>
              <w:tab w:val="left" w:pos="660"/>
              <w:tab w:val="right" w:leader="dot" w:pos="9016"/>
            </w:tabs>
            <w:rPr>
              <w:rFonts w:asciiTheme="minorHAnsi" w:hAnsiTheme="minorHAnsi" w:eastAsiaTheme="minorEastAsia"/>
              <w:noProof/>
              <w:lang w:eastAsia="en-GB"/>
            </w:rPr>
          </w:pPr>
          <w:hyperlink w:history="1" w:anchor="_Toc6745206">
            <w:r w:rsidRPr="00EB3C48" w:rsidR="009732B5">
              <w:rPr>
                <w:rStyle w:val="Hyperlink"/>
                <w:noProof/>
              </w:rPr>
              <w:t>20.</w:t>
            </w:r>
            <w:r w:rsidR="009732B5">
              <w:rPr>
                <w:rFonts w:asciiTheme="minorHAnsi" w:hAnsiTheme="minorHAnsi" w:eastAsiaTheme="minorEastAsia"/>
                <w:noProof/>
                <w:lang w:eastAsia="en-GB"/>
              </w:rPr>
              <w:tab/>
            </w:r>
            <w:r w:rsidRPr="00EB3C48" w:rsidR="009732B5">
              <w:rPr>
                <w:rStyle w:val="Hyperlink"/>
                <w:noProof/>
              </w:rPr>
              <w:t>Audit Schedule</w:t>
            </w:r>
            <w:r w:rsidR="009732B5">
              <w:rPr>
                <w:noProof/>
                <w:webHidden/>
              </w:rPr>
              <w:tab/>
            </w:r>
            <w:r w:rsidR="009732B5">
              <w:rPr>
                <w:noProof/>
                <w:webHidden/>
              </w:rPr>
              <w:fldChar w:fldCharType="begin"/>
            </w:r>
            <w:r w:rsidR="009732B5">
              <w:rPr>
                <w:noProof/>
                <w:webHidden/>
              </w:rPr>
              <w:instrText xml:space="preserve"> PAGEREF _Toc6745206 \h </w:instrText>
            </w:r>
            <w:r w:rsidR="009732B5">
              <w:rPr>
                <w:noProof/>
                <w:webHidden/>
              </w:rPr>
            </w:r>
            <w:r w:rsidR="009732B5">
              <w:rPr>
                <w:noProof/>
                <w:webHidden/>
              </w:rPr>
              <w:fldChar w:fldCharType="separate"/>
            </w:r>
            <w:r w:rsidR="009732B5">
              <w:rPr>
                <w:noProof/>
                <w:webHidden/>
              </w:rPr>
              <w:t>12</w:t>
            </w:r>
            <w:r w:rsidR="009732B5">
              <w:rPr>
                <w:noProof/>
                <w:webHidden/>
              </w:rPr>
              <w:fldChar w:fldCharType="end"/>
            </w:r>
          </w:hyperlink>
        </w:p>
        <w:p w:rsidR="009732B5" w:rsidRDefault="00176159" w14:paraId="78857CD7" w14:textId="070CE195">
          <w:pPr>
            <w:pStyle w:val="TOC1"/>
            <w:tabs>
              <w:tab w:val="left" w:pos="660"/>
              <w:tab w:val="right" w:leader="dot" w:pos="9016"/>
            </w:tabs>
            <w:rPr>
              <w:rFonts w:asciiTheme="minorHAnsi" w:hAnsiTheme="minorHAnsi" w:eastAsiaTheme="minorEastAsia"/>
              <w:noProof/>
              <w:lang w:eastAsia="en-GB"/>
            </w:rPr>
          </w:pPr>
          <w:hyperlink w:history="1" w:anchor="_Toc6745207">
            <w:r w:rsidRPr="00EB3C48" w:rsidR="009732B5">
              <w:rPr>
                <w:rStyle w:val="Hyperlink"/>
                <w:noProof/>
              </w:rPr>
              <w:t>21.</w:t>
            </w:r>
            <w:r w:rsidR="009732B5">
              <w:rPr>
                <w:rFonts w:asciiTheme="minorHAnsi" w:hAnsiTheme="minorHAnsi" w:eastAsiaTheme="minorEastAsia"/>
                <w:noProof/>
                <w:lang w:eastAsia="en-GB"/>
              </w:rPr>
              <w:tab/>
            </w:r>
            <w:r w:rsidRPr="00EB3C48" w:rsidR="009732B5">
              <w:rPr>
                <w:rStyle w:val="Hyperlink"/>
                <w:noProof/>
              </w:rPr>
              <w:t>Review</w:t>
            </w:r>
            <w:r w:rsidR="009732B5">
              <w:rPr>
                <w:noProof/>
                <w:webHidden/>
              </w:rPr>
              <w:tab/>
            </w:r>
            <w:r w:rsidR="009732B5">
              <w:rPr>
                <w:noProof/>
                <w:webHidden/>
              </w:rPr>
              <w:fldChar w:fldCharType="begin"/>
            </w:r>
            <w:r w:rsidR="009732B5">
              <w:rPr>
                <w:noProof/>
                <w:webHidden/>
              </w:rPr>
              <w:instrText xml:space="preserve"> PAGEREF _Toc6745207 \h </w:instrText>
            </w:r>
            <w:r w:rsidR="009732B5">
              <w:rPr>
                <w:noProof/>
                <w:webHidden/>
              </w:rPr>
            </w:r>
            <w:r w:rsidR="009732B5">
              <w:rPr>
                <w:noProof/>
                <w:webHidden/>
              </w:rPr>
              <w:fldChar w:fldCharType="separate"/>
            </w:r>
            <w:r w:rsidR="009732B5">
              <w:rPr>
                <w:noProof/>
                <w:webHidden/>
              </w:rPr>
              <w:t>12</w:t>
            </w:r>
            <w:r w:rsidR="009732B5">
              <w:rPr>
                <w:noProof/>
                <w:webHidden/>
              </w:rPr>
              <w:fldChar w:fldCharType="end"/>
            </w:r>
          </w:hyperlink>
        </w:p>
        <w:p w:rsidR="009732B5" w:rsidRDefault="00176159" w14:paraId="341341B0" w14:textId="27979C7E">
          <w:pPr>
            <w:pStyle w:val="TOC1"/>
            <w:tabs>
              <w:tab w:val="right" w:leader="dot" w:pos="9016"/>
            </w:tabs>
            <w:rPr>
              <w:rFonts w:asciiTheme="minorHAnsi" w:hAnsiTheme="minorHAnsi" w:eastAsiaTheme="minorEastAsia"/>
              <w:noProof/>
              <w:lang w:eastAsia="en-GB"/>
            </w:rPr>
          </w:pPr>
          <w:hyperlink w:history="1" w:anchor="_Toc6745208">
            <w:r w:rsidRPr="00EB3C48" w:rsidR="009732B5">
              <w:rPr>
                <w:rStyle w:val="Hyperlink"/>
                <w:noProof/>
              </w:rPr>
              <w:t>Appendix A: AoMRC Standards for Medical Records</w:t>
            </w:r>
            <w:r w:rsidR="009732B5">
              <w:rPr>
                <w:noProof/>
                <w:webHidden/>
              </w:rPr>
              <w:tab/>
            </w:r>
            <w:r w:rsidR="009732B5">
              <w:rPr>
                <w:noProof/>
                <w:webHidden/>
              </w:rPr>
              <w:fldChar w:fldCharType="begin"/>
            </w:r>
            <w:r w:rsidR="009732B5">
              <w:rPr>
                <w:noProof/>
                <w:webHidden/>
              </w:rPr>
              <w:instrText xml:space="preserve"> PAGEREF _Toc6745208 \h </w:instrText>
            </w:r>
            <w:r w:rsidR="009732B5">
              <w:rPr>
                <w:noProof/>
                <w:webHidden/>
              </w:rPr>
            </w:r>
            <w:r w:rsidR="009732B5">
              <w:rPr>
                <w:noProof/>
                <w:webHidden/>
              </w:rPr>
              <w:fldChar w:fldCharType="separate"/>
            </w:r>
            <w:r w:rsidR="009732B5">
              <w:rPr>
                <w:noProof/>
                <w:webHidden/>
              </w:rPr>
              <w:t>13</w:t>
            </w:r>
            <w:r w:rsidR="009732B5">
              <w:rPr>
                <w:noProof/>
                <w:webHidden/>
              </w:rPr>
              <w:fldChar w:fldCharType="end"/>
            </w:r>
          </w:hyperlink>
        </w:p>
        <w:p w:rsidR="00F03257" w:rsidRDefault="00F03257" w14:paraId="7DFD60A2" w14:textId="5C3A9915">
          <w:r>
            <w:rPr>
              <w:b/>
              <w:bCs/>
              <w:noProof/>
            </w:rPr>
            <w:fldChar w:fldCharType="end"/>
          </w:r>
        </w:p>
      </w:sdtContent>
    </w:sdt>
    <w:p w:rsidR="0093707C" w:rsidP="0093707C" w:rsidRDefault="0093707C" w14:paraId="557E7344" w14:textId="77777777">
      <w:pPr>
        <w:pStyle w:val="Heading1"/>
      </w:pPr>
      <w:bookmarkStart w:name="_Toc6743472" w:id="0"/>
      <w:bookmarkStart w:name="_Toc6743703" w:id="1"/>
      <w:bookmarkStart w:name="_Toc6745188" w:id="2"/>
      <w:bookmarkStart w:name="_Toc504985442" w:id="3"/>
      <w:r>
        <w:t>Scope</w:t>
      </w:r>
      <w:bookmarkEnd w:id="0"/>
      <w:bookmarkEnd w:id="1"/>
      <w:bookmarkEnd w:id="2"/>
    </w:p>
    <w:p w:rsidR="0093707C" w:rsidP="0093707C" w:rsidRDefault="0093707C" w14:paraId="6F18EE2A" w14:textId="77777777">
      <w:r>
        <w:t xml:space="preserve">This protocol has been drafted for use by customers of Kafico Ltd across Norfolk and Waveney. </w:t>
      </w:r>
    </w:p>
    <w:p w:rsidR="0093707C" w:rsidP="0093707C" w:rsidRDefault="0093707C" w14:paraId="2A75A1C4" w14:textId="77777777">
      <w:r>
        <w:t>At the time of writing and unless alternative protocols have been adopted locally, the protocol applies to;</w:t>
      </w:r>
    </w:p>
    <w:tbl>
      <w:tblPr>
        <w:tblStyle w:val="TableGrid"/>
        <w:tblW w:w="9498" w:type="dxa"/>
        <w:tblInd w:w="-289" w:type="dxa"/>
        <w:tblLook w:val="04A0" w:firstRow="1" w:lastRow="0" w:firstColumn="1" w:lastColumn="0" w:noHBand="0" w:noVBand="1"/>
      </w:tblPr>
      <w:tblGrid>
        <w:gridCol w:w="3294"/>
        <w:gridCol w:w="3005"/>
        <w:gridCol w:w="3199"/>
      </w:tblGrid>
      <w:tr w:rsidRPr="003C451F" w:rsidR="00176159" w:rsidTr="00D22017" w14:paraId="377D3EC3" w14:textId="77777777">
        <w:tc>
          <w:tcPr>
            <w:tcW w:w="3294" w:type="dxa"/>
          </w:tcPr>
          <w:p w:rsidRPr="003C451F" w:rsidR="00176159" w:rsidP="00D22017" w:rsidRDefault="00176159" w14:paraId="0079B942" w14:textId="77777777">
            <w:pPr>
              <w:rPr>
                <w:sz w:val="20"/>
                <w:szCs w:val="20"/>
              </w:rPr>
            </w:pPr>
            <w:r w:rsidRPr="003C451F">
              <w:rPr>
                <w:sz w:val="20"/>
                <w:szCs w:val="20"/>
              </w:rPr>
              <w:t>Acle Medical Partnership</w:t>
            </w:r>
          </w:p>
        </w:tc>
        <w:tc>
          <w:tcPr>
            <w:tcW w:w="3005" w:type="dxa"/>
          </w:tcPr>
          <w:p w:rsidRPr="003C451F" w:rsidR="00176159" w:rsidP="00D22017" w:rsidRDefault="00176159" w14:paraId="58C4CCE7" w14:textId="77777777">
            <w:pPr>
              <w:rPr>
                <w:sz w:val="20"/>
                <w:szCs w:val="20"/>
              </w:rPr>
            </w:pPr>
            <w:r w:rsidRPr="00C40A64">
              <w:rPr>
                <w:sz w:val="20"/>
                <w:szCs w:val="20"/>
              </w:rPr>
              <w:t>Boughton Doctors Surgery</w:t>
            </w:r>
          </w:p>
        </w:tc>
        <w:tc>
          <w:tcPr>
            <w:tcW w:w="3199" w:type="dxa"/>
          </w:tcPr>
          <w:p w:rsidRPr="003C451F" w:rsidR="00176159" w:rsidP="00D22017" w:rsidRDefault="00176159" w14:paraId="10F58F0A" w14:textId="77777777">
            <w:pPr>
              <w:rPr>
                <w:sz w:val="20"/>
                <w:szCs w:val="20"/>
              </w:rPr>
            </w:pPr>
            <w:r w:rsidRPr="00B6348F">
              <w:rPr>
                <w:sz w:val="20"/>
                <w:szCs w:val="20"/>
              </w:rPr>
              <w:t>Hellesdon Medical Practice</w:t>
            </w:r>
          </w:p>
        </w:tc>
      </w:tr>
      <w:tr w:rsidRPr="003C451F" w:rsidR="00176159" w:rsidTr="00D22017" w14:paraId="3E0A7808" w14:textId="77777777">
        <w:tc>
          <w:tcPr>
            <w:tcW w:w="3294" w:type="dxa"/>
          </w:tcPr>
          <w:p w:rsidRPr="003C451F" w:rsidR="00176159" w:rsidP="00D22017" w:rsidRDefault="00176159" w14:paraId="5ADD874B" w14:textId="77777777">
            <w:pPr>
              <w:rPr>
                <w:sz w:val="20"/>
                <w:szCs w:val="20"/>
              </w:rPr>
            </w:pPr>
            <w:r w:rsidRPr="003C451F">
              <w:rPr>
                <w:sz w:val="20"/>
                <w:szCs w:val="20"/>
              </w:rPr>
              <w:t>Beccles Medical Centre</w:t>
            </w:r>
          </w:p>
        </w:tc>
        <w:tc>
          <w:tcPr>
            <w:tcW w:w="3005" w:type="dxa"/>
          </w:tcPr>
          <w:p w:rsidRPr="003C451F" w:rsidR="00176159" w:rsidP="00D22017" w:rsidRDefault="00176159" w14:paraId="7F9C3AE2" w14:textId="77777777">
            <w:pPr>
              <w:rPr>
                <w:sz w:val="20"/>
                <w:szCs w:val="20"/>
              </w:rPr>
            </w:pPr>
            <w:r w:rsidRPr="005363B8">
              <w:rPr>
                <w:sz w:val="20"/>
                <w:szCs w:val="20"/>
              </w:rPr>
              <w:t>Bridge Street Surgery</w:t>
            </w:r>
          </w:p>
        </w:tc>
        <w:tc>
          <w:tcPr>
            <w:tcW w:w="3199" w:type="dxa"/>
          </w:tcPr>
          <w:p w:rsidRPr="003C451F" w:rsidR="00176159" w:rsidP="00D22017" w:rsidRDefault="00176159" w14:paraId="278BECDC" w14:textId="77777777">
            <w:pPr>
              <w:rPr>
                <w:sz w:val="20"/>
                <w:szCs w:val="20"/>
              </w:rPr>
            </w:pPr>
            <w:r w:rsidRPr="00B6348F">
              <w:rPr>
                <w:sz w:val="20"/>
                <w:szCs w:val="20"/>
              </w:rPr>
              <w:t>Holt Medical Practice</w:t>
            </w:r>
          </w:p>
        </w:tc>
      </w:tr>
      <w:tr w:rsidRPr="003C451F" w:rsidR="00176159" w:rsidTr="00D22017" w14:paraId="65A78709" w14:textId="77777777">
        <w:tc>
          <w:tcPr>
            <w:tcW w:w="3294" w:type="dxa"/>
          </w:tcPr>
          <w:p w:rsidRPr="003C451F" w:rsidR="00176159" w:rsidP="00D22017" w:rsidRDefault="00176159" w14:paraId="32ABA904" w14:textId="77777777">
            <w:pPr>
              <w:rPr>
                <w:sz w:val="20"/>
                <w:szCs w:val="20"/>
              </w:rPr>
            </w:pPr>
            <w:r w:rsidRPr="003C451F">
              <w:rPr>
                <w:sz w:val="20"/>
                <w:szCs w:val="20"/>
              </w:rPr>
              <w:t>Birchwood Surgery</w:t>
            </w:r>
          </w:p>
        </w:tc>
        <w:tc>
          <w:tcPr>
            <w:tcW w:w="3005" w:type="dxa"/>
          </w:tcPr>
          <w:p w:rsidRPr="003C451F" w:rsidR="00176159" w:rsidP="00D22017" w:rsidRDefault="00176159" w14:paraId="7E7FDDAF" w14:textId="77777777">
            <w:pPr>
              <w:rPr>
                <w:sz w:val="20"/>
                <w:szCs w:val="20"/>
              </w:rPr>
            </w:pPr>
            <w:r w:rsidRPr="00401A3B">
              <w:rPr>
                <w:sz w:val="20"/>
                <w:szCs w:val="20"/>
              </w:rPr>
              <w:t>Cromer Group Practice</w:t>
            </w:r>
          </w:p>
        </w:tc>
        <w:tc>
          <w:tcPr>
            <w:tcW w:w="3199" w:type="dxa"/>
          </w:tcPr>
          <w:p w:rsidRPr="003C451F" w:rsidR="00176159" w:rsidP="00D22017" w:rsidRDefault="00176159" w14:paraId="0A687D9C" w14:textId="77777777">
            <w:pPr>
              <w:rPr>
                <w:sz w:val="20"/>
                <w:szCs w:val="20"/>
              </w:rPr>
            </w:pPr>
            <w:r w:rsidRPr="004658C0">
              <w:rPr>
                <w:sz w:val="20"/>
                <w:szCs w:val="20"/>
              </w:rPr>
              <w:t>Feltwell Surgery</w:t>
            </w:r>
          </w:p>
        </w:tc>
      </w:tr>
      <w:tr w:rsidRPr="003C451F" w:rsidR="00176159" w:rsidTr="00D22017" w14:paraId="341AD16E" w14:textId="77777777">
        <w:tc>
          <w:tcPr>
            <w:tcW w:w="3294" w:type="dxa"/>
          </w:tcPr>
          <w:p w:rsidRPr="003C451F" w:rsidR="00176159" w:rsidP="00D22017" w:rsidRDefault="00176159" w14:paraId="66F45B67" w14:textId="77777777">
            <w:pPr>
              <w:rPr>
                <w:sz w:val="20"/>
                <w:szCs w:val="20"/>
              </w:rPr>
            </w:pPr>
            <w:r w:rsidRPr="003C451F">
              <w:rPr>
                <w:sz w:val="20"/>
                <w:szCs w:val="20"/>
              </w:rPr>
              <w:t>Blofield Surgery</w:t>
            </w:r>
          </w:p>
        </w:tc>
        <w:tc>
          <w:tcPr>
            <w:tcW w:w="3005" w:type="dxa"/>
          </w:tcPr>
          <w:p w:rsidRPr="003C451F" w:rsidR="00176159" w:rsidP="00D22017" w:rsidRDefault="00176159" w14:paraId="47637747" w14:textId="77777777">
            <w:pPr>
              <w:rPr>
                <w:sz w:val="20"/>
                <w:szCs w:val="20"/>
              </w:rPr>
            </w:pPr>
            <w:r w:rsidRPr="00401A3B">
              <w:rPr>
                <w:sz w:val="20"/>
                <w:szCs w:val="20"/>
              </w:rPr>
              <w:t>St Clement's Surgery</w:t>
            </w:r>
          </w:p>
        </w:tc>
        <w:tc>
          <w:tcPr>
            <w:tcW w:w="3199" w:type="dxa"/>
          </w:tcPr>
          <w:p w:rsidRPr="003C451F" w:rsidR="00176159" w:rsidP="00D22017" w:rsidRDefault="00176159" w14:paraId="4DE3B81B" w14:textId="77777777">
            <w:pPr>
              <w:rPr>
                <w:sz w:val="20"/>
                <w:szCs w:val="20"/>
              </w:rPr>
            </w:pPr>
            <w:r w:rsidRPr="00A53F79">
              <w:rPr>
                <w:sz w:val="20"/>
                <w:szCs w:val="20"/>
              </w:rPr>
              <w:t>Great Massingham and Docking Surgeries</w:t>
            </w:r>
          </w:p>
        </w:tc>
      </w:tr>
      <w:tr w:rsidRPr="003C451F" w:rsidR="00176159" w:rsidTr="00D22017" w14:paraId="5A1506A3" w14:textId="77777777">
        <w:tc>
          <w:tcPr>
            <w:tcW w:w="3294" w:type="dxa"/>
          </w:tcPr>
          <w:p w:rsidRPr="003C451F" w:rsidR="00176159" w:rsidP="00D22017" w:rsidRDefault="00176159" w14:paraId="03E138D7" w14:textId="77777777">
            <w:pPr>
              <w:rPr>
                <w:sz w:val="20"/>
                <w:szCs w:val="20"/>
              </w:rPr>
            </w:pPr>
            <w:r w:rsidRPr="003C451F">
              <w:rPr>
                <w:sz w:val="20"/>
                <w:szCs w:val="20"/>
              </w:rPr>
              <w:t>The Brundall Medical Centre</w:t>
            </w:r>
          </w:p>
        </w:tc>
        <w:tc>
          <w:tcPr>
            <w:tcW w:w="3005" w:type="dxa"/>
          </w:tcPr>
          <w:p w:rsidRPr="003C451F" w:rsidR="00176159" w:rsidP="00D22017" w:rsidRDefault="00176159" w14:paraId="724E3558" w14:textId="77777777">
            <w:pPr>
              <w:rPr>
                <w:sz w:val="20"/>
                <w:szCs w:val="20"/>
              </w:rPr>
            </w:pPr>
            <w:r w:rsidRPr="003C451F">
              <w:rPr>
                <w:sz w:val="20"/>
                <w:szCs w:val="20"/>
              </w:rPr>
              <w:t>Castle Partnership</w:t>
            </w:r>
          </w:p>
        </w:tc>
        <w:tc>
          <w:tcPr>
            <w:tcW w:w="3199" w:type="dxa"/>
          </w:tcPr>
          <w:p w:rsidRPr="003C451F" w:rsidR="00176159" w:rsidP="00D22017" w:rsidRDefault="00176159" w14:paraId="3D615560" w14:textId="77777777">
            <w:pPr>
              <w:rPr>
                <w:sz w:val="20"/>
                <w:szCs w:val="20"/>
              </w:rPr>
            </w:pPr>
            <w:r w:rsidRPr="004B0F49">
              <w:rPr>
                <w:sz w:val="20"/>
                <w:szCs w:val="20"/>
              </w:rPr>
              <w:t>The Harleston Medical Practice</w:t>
            </w:r>
          </w:p>
        </w:tc>
      </w:tr>
      <w:tr w:rsidRPr="003C451F" w:rsidR="00176159" w:rsidTr="00D22017" w14:paraId="6B65F451" w14:textId="77777777">
        <w:tc>
          <w:tcPr>
            <w:tcW w:w="3294" w:type="dxa"/>
          </w:tcPr>
          <w:p w:rsidRPr="003C451F" w:rsidR="00176159" w:rsidP="00D22017" w:rsidRDefault="00176159" w14:paraId="73AC6EFB" w14:textId="77777777">
            <w:pPr>
              <w:rPr>
                <w:sz w:val="20"/>
                <w:szCs w:val="20"/>
              </w:rPr>
            </w:pPr>
            <w:r w:rsidRPr="003C451F">
              <w:rPr>
                <w:sz w:val="20"/>
                <w:szCs w:val="20"/>
              </w:rPr>
              <w:t>Coltishall Medical Practice</w:t>
            </w:r>
          </w:p>
        </w:tc>
        <w:tc>
          <w:tcPr>
            <w:tcW w:w="3005" w:type="dxa"/>
          </w:tcPr>
          <w:p w:rsidRPr="003C451F" w:rsidR="00176159" w:rsidP="00D22017" w:rsidRDefault="00176159" w14:paraId="392A963C" w14:textId="77777777">
            <w:pPr>
              <w:rPr>
                <w:sz w:val="20"/>
                <w:szCs w:val="20"/>
              </w:rPr>
            </w:pPr>
            <w:r w:rsidRPr="00527FE6">
              <w:rPr>
                <w:sz w:val="20"/>
                <w:szCs w:val="20"/>
              </w:rPr>
              <w:t>The Burnhams Surgery</w:t>
            </w:r>
          </w:p>
        </w:tc>
        <w:tc>
          <w:tcPr>
            <w:tcW w:w="3199" w:type="dxa"/>
          </w:tcPr>
          <w:p w:rsidRPr="003C451F" w:rsidR="00176159" w:rsidP="00D22017" w:rsidRDefault="00176159" w14:paraId="31D249CC" w14:textId="77777777">
            <w:pPr>
              <w:rPr>
                <w:sz w:val="20"/>
                <w:szCs w:val="20"/>
              </w:rPr>
            </w:pPr>
            <w:r w:rsidRPr="004B0F49">
              <w:rPr>
                <w:sz w:val="20"/>
                <w:szCs w:val="20"/>
              </w:rPr>
              <w:t>Heacham Group Practice</w:t>
            </w:r>
          </w:p>
        </w:tc>
      </w:tr>
      <w:tr w:rsidRPr="003C451F" w:rsidR="00176159" w:rsidTr="00D22017" w14:paraId="4AEC0F94" w14:textId="77777777">
        <w:tc>
          <w:tcPr>
            <w:tcW w:w="3294" w:type="dxa"/>
          </w:tcPr>
          <w:p w:rsidRPr="003C451F" w:rsidR="00176159" w:rsidP="00D22017" w:rsidRDefault="00176159" w14:paraId="415AC621" w14:textId="77777777">
            <w:pPr>
              <w:rPr>
                <w:sz w:val="20"/>
                <w:szCs w:val="20"/>
              </w:rPr>
            </w:pPr>
            <w:r w:rsidRPr="003C451F">
              <w:rPr>
                <w:sz w:val="20"/>
                <w:szCs w:val="20"/>
              </w:rPr>
              <w:t>Campingland Surgery</w:t>
            </w:r>
          </w:p>
        </w:tc>
        <w:tc>
          <w:tcPr>
            <w:tcW w:w="3005" w:type="dxa"/>
          </w:tcPr>
          <w:p w:rsidRPr="003C451F" w:rsidR="00176159" w:rsidP="00D22017" w:rsidRDefault="00176159" w14:paraId="526FBFD2" w14:textId="77777777">
            <w:pPr>
              <w:rPr>
                <w:sz w:val="20"/>
                <w:szCs w:val="20"/>
              </w:rPr>
            </w:pPr>
            <w:r w:rsidRPr="001C49ED">
              <w:rPr>
                <w:sz w:val="20"/>
                <w:szCs w:val="20"/>
              </w:rPr>
              <w:t>Drayton Surgery</w:t>
            </w:r>
          </w:p>
        </w:tc>
        <w:tc>
          <w:tcPr>
            <w:tcW w:w="3199" w:type="dxa"/>
          </w:tcPr>
          <w:p w:rsidRPr="003C451F" w:rsidR="00176159" w:rsidP="00D22017" w:rsidRDefault="00176159" w14:paraId="241EC158" w14:textId="77777777">
            <w:pPr>
              <w:rPr>
                <w:sz w:val="20"/>
                <w:szCs w:val="20"/>
              </w:rPr>
            </w:pPr>
            <w:r w:rsidRPr="00EA13E4">
              <w:rPr>
                <w:sz w:val="20"/>
                <w:szCs w:val="20"/>
              </w:rPr>
              <w:t>St John's Surgery</w:t>
            </w:r>
          </w:p>
        </w:tc>
      </w:tr>
      <w:tr w:rsidRPr="003C451F" w:rsidR="00176159" w:rsidTr="00D22017" w14:paraId="71587A74" w14:textId="77777777">
        <w:tc>
          <w:tcPr>
            <w:tcW w:w="3294" w:type="dxa"/>
          </w:tcPr>
          <w:p w:rsidRPr="003C451F" w:rsidR="00176159" w:rsidP="00D22017" w:rsidRDefault="00176159" w14:paraId="5D1E8CF6" w14:textId="77777777">
            <w:pPr>
              <w:rPr>
                <w:sz w:val="20"/>
                <w:szCs w:val="20"/>
              </w:rPr>
            </w:pPr>
            <w:r w:rsidRPr="003C451F">
              <w:rPr>
                <w:sz w:val="20"/>
                <w:szCs w:val="20"/>
              </w:rPr>
              <w:t>Hoveton &amp; Wroxham Medical Centre</w:t>
            </w:r>
          </w:p>
        </w:tc>
        <w:tc>
          <w:tcPr>
            <w:tcW w:w="3005" w:type="dxa"/>
          </w:tcPr>
          <w:p w:rsidRPr="003C451F" w:rsidR="00176159" w:rsidP="00D22017" w:rsidRDefault="00176159" w14:paraId="78129E4B" w14:textId="77777777">
            <w:pPr>
              <w:rPr>
                <w:sz w:val="20"/>
                <w:szCs w:val="20"/>
              </w:rPr>
            </w:pPr>
            <w:r w:rsidRPr="000455AA">
              <w:rPr>
                <w:sz w:val="20"/>
                <w:szCs w:val="20"/>
              </w:rPr>
              <w:t>Roundwell Medical Centre</w:t>
            </w:r>
          </w:p>
        </w:tc>
        <w:tc>
          <w:tcPr>
            <w:tcW w:w="3199" w:type="dxa"/>
          </w:tcPr>
          <w:p w:rsidRPr="003C451F" w:rsidR="00176159" w:rsidP="00D22017" w:rsidRDefault="00176159" w14:paraId="7D4F96C8" w14:textId="77777777">
            <w:pPr>
              <w:rPr>
                <w:sz w:val="20"/>
                <w:szCs w:val="20"/>
              </w:rPr>
            </w:pPr>
            <w:r w:rsidRPr="003C451F">
              <w:rPr>
                <w:sz w:val="20"/>
                <w:szCs w:val="20"/>
              </w:rPr>
              <w:t>Staithe</w:t>
            </w:r>
            <w:r>
              <w:rPr>
                <w:sz w:val="20"/>
                <w:szCs w:val="20"/>
              </w:rPr>
              <w:t xml:space="preserve"> Surgery</w:t>
            </w:r>
          </w:p>
        </w:tc>
      </w:tr>
      <w:tr w:rsidRPr="003C451F" w:rsidR="00176159" w:rsidTr="00D22017" w14:paraId="5A9AF81C" w14:textId="77777777">
        <w:tc>
          <w:tcPr>
            <w:tcW w:w="3294" w:type="dxa"/>
          </w:tcPr>
          <w:p w:rsidRPr="003C451F" w:rsidR="00176159" w:rsidP="00D22017" w:rsidRDefault="00176159" w14:paraId="6A5EA175" w14:textId="77777777">
            <w:pPr>
              <w:rPr>
                <w:sz w:val="20"/>
                <w:szCs w:val="20"/>
              </w:rPr>
            </w:pPr>
            <w:r w:rsidRPr="003C451F">
              <w:rPr>
                <w:sz w:val="20"/>
                <w:szCs w:val="20"/>
              </w:rPr>
              <w:t>Ludham</w:t>
            </w:r>
            <w:r>
              <w:rPr>
                <w:sz w:val="20"/>
                <w:szCs w:val="20"/>
              </w:rPr>
              <w:t xml:space="preserve"> Surgery</w:t>
            </w:r>
          </w:p>
        </w:tc>
        <w:tc>
          <w:tcPr>
            <w:tcW w:w="3005" w:type="dxa"/>
          </w:tcPr>
          <w:p w:rsidRPr="003C451F" w:rsidR="00176159" w:rsidP="00D22017" w:rsidRDefault="00176159" w14:paraId="4B65064E" w14:textId="77777777">
            <w:pPr>
              <w:rPr>
                <w:sz w:val="20"/>
                <w:szCs w:val="20"/>
              </w:rPr>
            </w:pPr>
            <w:r w:rsidRPr="00F2775E">
              <w:rPr>
                <w:sz w:val="20"/>
                <w:szCs w:val="20"/>
              </w:rPr>
              <w:t>Paston Surgery</w:t>
            </w:r>
          </w:p>
        </w:tc>
        <w:tc>
          <w:tcPr>
            <w:tcW w:w="3199" w:type="dxa"/>
          </w:tcPr>
          <w:p w:rsidRPr="003C451F" w:rsidR="00176159" w:rsidP="00D22017" w:rsidRDefault="00176159" w14:paraId="7DAFC163" w14:textId="77777777">
            <w:pPr>
              <w:rPr>
                <w:sz w:val="20"/>
                <w:szCs w:val="20"/>
              </w:rPr>
            </w:pPr>
            <w:r w:rsidRPr="00545BA2">
              <w:rPr>
                <w:sz w:val="20"/>
                <w:szCs w:val="20"/>
              </w:rPr>
              <w:t>Thorpewood Surgery</w:t>
            </w:r>
          </w:p>
        </w:tc>
      </w:tr>
      <w:tr w:rsidRPr="003C451F" w:rsidR="00176159" w:rsidTr="00D22017" w14:paraId="2C4EF85C" w14:textId="77777777">
        <w:tc>
          <w:tcPr>
            <w:tcW w:w="3294" w:type="dxa"/>
          </w:tcPr>
          <w:p w:rsidRPr="003C451F" w:rsidR="00176159" w:rsidP="00D22017" w:rsidRDefault="00176159" w14:paraId="062D41D6" w14:textId="77777777">
            <w:pPr>
              <w:rPr>
                <w:sz w:val="20"/>
                <w:szCs w:val="20"/>
              </w:rPr>
            </w:pPr>
            <w:r>
              <w:rPr>
                <w:sz w:val="20"/>
                <w:szCs w:val="20"/>
              </w:rPr>
              <w:t>The M</w:t>
            </w:r>
            <w:r w:rsidRPr="003C451F">
              <w:rPr>
                <w:sz w:val="20"/>
                <w:szCs w:val="20"/>
              </w:rPr>
              <w:t>arket Surgery</w:t>
            </w:r>
          </w:p>
        </w:tc>
        <w:tc>
          <w:tcPr>
            <w:tcW w:w="3005" w:type="dxa"/>
          </w:tcPr>
          <w:p w:rsidRPr="003C451F" w:rsidR="00176159" w:rsidP="00D22017" w:rsidRDefault="00176159" w14:paraId="1143654B" w14:textId="77777777">
            <w:pPr>
              <w:rPr>
                <w:sz w:val="20"/>
                <w:szCs w:val="20"/>
              </w:rPr>
            </w:pPr>
            <w:r w:rsidRPr="00F2775E">
              <w:rPr>
                <w:sz w:val="20"/>
                <w:szCs w:val="20"/>
              </w:rPr>
              <w:t>Prospect Medical Practice</w:t>
            </w:r>
          </w:p>
        </w:tc>
        <w:tc>
          <w:tcPr>
            <w:tcW w:w="3199" w:type="dxa"/>
          </w:tcPr>
          <w:p w:rsidRPr="003C451F" w:rsidR="00176159" w:rsidP="00D22017" w:rsidRDefault="00176159" w14:paraId="6191AAB6" w14:textId="77777777">
            <w:pPr>
              <w:rPr>
                <w:sz w:val="20"/>
                <w:szCs w:val="20"/>
              </w:rPr>
            </w:pPr>
            <w:r w:rsidRPr="004F496A">
              <w:rPr>
                <w:sz w:val="20"/>
                <w:szCs w:val="20"/>
              </w:rPr>
              <w:t>Upwell Health Centre and Welle Ltd</w:t>
            </w:r>
          </w:p>
        </w:tc>
      </w:tr>
      <w:tr w:rsidRPr="003C451F" w:rsidR="00176159" w:rsidTr="00D22017" w14:paraId="789FE60B" w14:textId="77777777">
        <w:tc>
          <w:tcPr>
            <w:tcW w:w="3294" w:type="dxa"/>
          </w:tcPr>
          <w:p w:rsidRPr="003C451F" w:rsidR="00176159" w:rsidP="00D22017" w:rsidRDefault="00176159" w14:paraId="6C9ABF01" w14:textId="77777777">
            <w:pPr>
              <w:rPr>
                <w:sz w:val="20"/>
                <w:szCs w:val="20"/>
              </w:rPr>
            </w:pPr>
            <w:r w:rsidRPr="003C451F">
              <w:rPr>
                <w:sz w:val="20"/>
                <w:szCs w:val="20"/>
              </w:rPr>
              <w:t>Howdale</w:t>
            </w:r>
            <w:r>
              <w:rPr>
                <w:sz w:val="20"/>
                <w:szCs w:val="20"/>
              </w:rPr>
              <w:t xml:space="preserve"> Surgery</w:t>
            </w:r>
          </w:p>
        </w:tc>
        <w:tc>
          <w:tcPr>
            <w:tcW w:w="3005" w:type="dxa"/>
          </w:tcPr>
          <w:p w:rsidRPr="003C451F" w:rsidR="00176159" w:rsidP="00D22017" w:rsidRDefault="00176159" w14:paraId="079E848D" w14:textId="77777777">
            <w:pPr>
              <w:rPr>
                <w:sz w:val="20"/>
                <w:szCs w:val="20"/>
              </w:rPr>
            </w:pPr>
            <w:r w:rsidRPr="008F1399">
              <w:rPr>
                <w:sz w:val="20"/>
                <w:szCs w:val="20"/>
              </w:rPr>
              <w:t>Sheringham Medical Practice</w:t>
            </w:r>
          </w:p>
        </w:tc>
        <w:tc>
          <w:tcPr>
            <w:tcW w:w="3199" w:type="dxa"/>
          </w:tcPr>
          <w:p w:rsidRPr="003C451F" w:rsidR="00176159" w:rsidP="00D22017" w:rsidRDefault="00176159" w14:paraId="674FBA03" w14:textId="77777777">
            <w:pPr>
              <w:rPr>
                <w:sz w:val="20"/>
                <w:szCs w:val="20"/>
              </w:rPr>
            </w:pPr>
            <w:r w:rsidRPr="00723456">
              <w:rPr>
                <w:sz w:val="20"/>
                <w:szCs w:val="20"/>
              </w:rPr>
              <w:t>Watlington Medical Centre</w:t>
            </w:r>
          </w:p>
        </w:tc>
      </w:tr>
      <w:tr w:rsidRPr="003C451F" w:rsidR="00176159" w:rsidTr="00D22017" w14:paraId="764166F2" w14:textId="77777777">
        <w:tc>
          <w:tcPr>
            <w:tcW w:w="3294" w:type="dxa"/>
          </w:tcPr>
          <w:p w:rsidRPr="003C451F" w:rsidR="00176159" w:rsidP="00D22017" w:rsidRDefault="00176159" w14:paraId="294935D9" w14:textId="77777777">
            <w:pPr>
              <w:rPr>
                <w:sz w:val="20"/>
                <w:szCs w:val="20"/>
              </w:rPr>
            </w:pPr>
            <w:r w:rsidRPr="003C451F">
              <w:rPr>
                <w:sz w:val="20"/>
                <w:szCs w:val="20"/>
              </w:rPr>
              <w:t>Litcham Health Centre</w:t>
            </w:r>
          </w:p>
        </w:tc>
        <w:tc>
          <w:tcPr>
            <w:tcW w:w="3005" w:type="dxa"/>
          </w:tcPr>
          <w:p w:rsidRPr="003C451F" w:rsidR="00176159" w:rsidP="00D22017" w:rsidRDefault="00176159" w14:paraId="78A3976D" w14:textId="77777777">
            <w:pPr>
              <w:rPr>
                <w:sz w:val="20"/>
                <w:szCs w:val="20"/>
              </w:rPr>
            </w:pPr>
            <w:r w:rsidRPr="003C451F">
              <w:rPr>
                <w:sz w:val="20"/>
                <w:szCs w:val="20"/>
              </w:rPr>
              <w:t>Southgate and Woot</w:t>
            </w:r>
            <w:r>
              <w:rPr>
                <w:sz w:val="20"/>
                <w:szCs w:val="20"/>
              </w:rPr>
              <w:t>ton’s</w:t>
            </w:r>
          </w:p>
        </w:tc>
        <w:tc>
          <w:tcPr>
            <w:tcW w:w="3199" w:type="dxa"/>
          </w:tcPr>
          <w:p w:rsidRPr="003C451F" w:rsidR="00176159" w:rsidP="00D22017" w:rsidRDefault="00176159" w14:paraId="36F52962" w14:textId="77777777">
            <w:pPr>
              <w:rPr>
                <w:sz w:val="20"/>
                <w:szCs w:val="20"/>
              </w:rPr>
            </w:pPr>
            <w:r w:rsidRPr="003C451F">
              <w:rPr>
                <w:sz w:val="20"/>
                <w:szCs w:val="20"/>
              </w:rPr>
              <w:t>Wells Health Centre</w:t>
            </w:r>
          </w:p>
        </w:tc>
      </w:tr>
      <w:tr w:rsidRPr="003C451F" w:rsidR="00176159" w:rsidTr="00D22017" w14:paraId="6387A2D5" w14:textId="77777777">
        <w:tc>
          <w:tcPr>
            <w:tcW w:w="3294" w:type="dxa"/>
          </w:tcPr>
          <w:p w:rsidRPr="003C451F" w:rsidR="00176159" w:rsidP="00D22017" w:rsidRDefault="00176159" w14:paraId="461743A8" w14:textId="77777777">
            <w:pPr>
              <w:rPr>
                <w:sz w:val="20"/>
                <w:szCs w:val="20"/>
              </w:rPr>
            </w:pPr>
            <w:r w:rsidRPr="004671E3">
              <w:rPr>
                <w:sz w:val="20"/>
                <w:szCs w:val="20"/>
              </w:rPr>
              <w:t>Mundesley Medical Centre</w:t>
            </w:r>
          </w:p>
        </w:tc>
        <w:tc>
          <w:tcPr>
            <w:tcW w:w="3005" w:type="dxa"/>
          </w:tcPr>
          <w:p w:rsidRPr="003C451F" w:rsidR="00176159" w:rsidP="00D22017" w:rsidRDefault="00176159" w14:paraId="058B53AF" w14:textId="77777777">
            <w:pPr>
              <w:rPr>
                <w:sz w:val="20"/>
                <w:szCs w:val="20"/>
              </w:rPr>
            </w:pPr>
            <w:r w:rsidRPr="00536C7C">
              <w:rPr>
                <w:sz w:val="20"/>
                <w:szCs w:val="20"/>
              </w:rPr>
              <w:t>St James Medical Practice</w:t>
            </w:r>
          </w:p>
        </w:tc>
        <w:tc>
          <w:tcPr>
            <w:tcW w:w="3199" w:type="dxa"/>
          </w:tcPr>
          <w:p w:rsidRPr="003C451F" w:rsidR="00176159" w:rsidP="00D22017" w:rsidRDefault="00176159" w14:paraId="4D161745" w14:textId="77777777">
            <w:pPr>
              <w:rPr>
                <w:sz w:val="20"/>
                <w:szCs w:val="20"/>
              </w:rPr>
            </w:pPr>
            <w:r>
              <w:rPr>
                <w:sz w:val="20"/>
                <w:szCs w:val="20"/>
              </w:rPr>
              <w:t>St Stephen’s Gate</w:t>
            </w:r>
          </w:p>
        </w:tc>
      </w:tr>
      <w:tr w:rsidRPr="003C451F" w:rsidR="00176159" w:rsidTr="00D22017" w14:paraId="08894E05" w14:textId="77777777">
        <w:tc>
          <w:tcPr>
            <w:tcW w:w="3294" w:type="dxa"/>
          </w:tcPr>
          <w:p w:rsidRPr="003C451F" w:rsidR="00176159" w:rsidP="00D22017" w:rsidRDefault="00176159" w14:paraId="657EAD61" w14:textId="77777777">
            <w:pPr>
              <w:rPr>
                <w:sz w:val="20"/>
                <w:szCs w:val="20"/>
              </w:rPr>
            </w:pPr>
            <w:r w:rsidRPr="004671E3">
              <w:rPr>
                <w:sz w:val="20"/>
                <w:szCs w:val="20"/>
              </w:rPr>
              <w:t>Manor Farm Medical Centre</w:t>
            </w:r>
          </w:p>
        </w:tc>
        <w:tc>
          <w:tcPr>
            <w:tcW w:w="3005" w:type="dxa"/>
          </w:tcPr>
          <w:p w:rsidRPr="003C451F" w:rsidR="00176159" w:rsidP="00D22017" w:rsidRDefault="00176159" w14:paraId="47CE4093" w14:textId="77777777">
            <w:pPr>
              <w:rPr>
                <w:sz w:val="20"/>
                <w:szCs w:val="20"/>
              </w:rPr>
            </w:pPr>
            <w:r w:rsidRPr="008F2E5E">
              <w:rPr>
                <w:sz w:val="20"/>
                <w:szCs w:val="20"/>
              </w:rPr>
              <w:t>The Fakenham Medical Practice</w:t>
            </w:r>
          </w:p>
        </w:tc>
        <w:tc>
          <w:tcPr>
            <w:tcW w:w="3199" w:type="dxa"/>
          </w:tcPr>
          <w:p w:rsidRPr="003C451F" w:rsidR="00176159" w:rsidP="00D22017" w:rsidRDefault="00176159" w14:paraId="4E90152D" w14:textId="77777777">
            <w:pPr>
              <w:rPr>
                <w:sz w:val="20"/>
                <w:szCs w:val="20"/>
              </w:rPr>
            </w:pPr>
            <w:r>
              <w:rPr>
                <w:sz w:val="20"/>
                <w:szCs w:val="20"/>
              </w:rPr>
              <w:t>Plowright Medical Centre</w:t>
            </w:r>
          </w:p>
        </w:tc>
      </w:tr>
      <w:tr w:rsidRPr="003C451F" w:rsidR="00176159" w:rsidTr="00D22017" w14:paraId="3F082F77" w14:textId="77777777">
        <w:tc>
          <w:tcPr>
            <w:tcW w:w="3294" w:type="dxa"/>
          </w:tcPr>
          <w:p w:rsidRPr="004671E3" w:rsidR="00176159" w:rsidP="00D22017" w:rsidRDefault="00176159" w14:paraId="1682D429" w14:textId="77777777">
            <w:pPr>
              <w:rPr>
                <w:sz w:val="20"/>
                <w:szCs w:val="20"/>
              </w:rPr>
            </w:pPr>
            <w:r w:rsidRPr="00B85E12">
              <w:rPr>
                <w:sz w:val="20"/>
                <w:szCs w:val="20"/>
              </w:rPr>
              <w:t>Grimston Medical Centre</w:t>
            </w:r>
          </w:p>
        </w:tc>
        <w:tc>
          <w:tcPr>
            <w:tcW w:w="3005" w:type="dxa"/>
          </w:tcPr>
          <w:p w:rsidRPr="008F2E5E" w:rsidR="00176159" w:rsidP="00D22017" w:rsidRDefault="00176159" w14:paraId="3411E12B" w14:textId="77777777">
            <w:pPr>
              <w:rPr>
                <w:sz w:val="20"/>
                <w:szCs w:val="20"/>
              </w:rPr>
            </w:pPr>
            <w:r w:rsidRPr="00A6071F">
              <w:rPr>
                <w:sz w:val="20"/>
                <w:szCs w:val="20"/>
              </w:rPr>
              <w:t>Aldborough</w:t>
            </w:r>
            <w:r>
              <w:rPr>
                <w:sz w:val="20"/>
                <w:szCs w:val="20"/>
              </w:rPr>
              <w:t xml:space="preserve"> Surgery</w:t>
            </w:r>
          </w:p>
        </w:tc>
        <w:tc>
          <w:tcPr>
            <w:tcW w:w="3199" w:type="dxa"/>
          </w:tcPr>
          <w:p w:rsidR="00176159" w:rsidP="00D22017" w:rsidRDefault="00176159" w14:paraId="2CF7F1E8" w14:textId="77777777">
            <w:pPr>
              <w:rPr>
                <w:sz w:val="20"/>
                <w:szCs w:val="20"/>
              </w:rPr>
            </w:pPr>
            <w:r w:rsidRPr="008E12A4">
              <w:rPr>
                <w:sz w:val="20"/>
                <w:szCs w:val="20"/>
              </w:rPr>
              <w:t>Bacon Road</w:t>
            </w:r>
            <w:r>
              <w:rPr>
                <w:sz w:val="20"/>
                <w:szCs w:val="20"/>
              </w:rPr>
              <w:t xml:space="preserve"> / Taverham</w:t>
            </w:r>
          </w:p>
        </w:tc>
      </w:tr>
      <w:tr w:rsidRPr="003C451F" w:rsidR="00176159" w:rsidTr="00D22017" w14:paraId="3B29C769" w14:textId="77777777">
        <w:tc>
          <w:tcPr>
            <w:tcW w:w="3294" w:type="dxa"/>
          </w:tcPr>
          <w:p w:rsidRPr="00B85E12" w:rsidR="00176159" w:rsidP="00D22017" w:rsidRDefault="00176159" w14:paraId="3811CE6F" w14:textId="77777777">
            <w:pPr>
              <w:rPr>
                <w:sz w:val="20"/>
                <w:szCs w:val="20"/>
              </w:rPr>
            </w:pPr>
            <w:r w:rsidRPr="004D31FC">
              <w:rPr>
                <w:sz w:val="20"/>
                <w:szCs w:val="20"/>
              </w:rPr>
              <w:lastRenderedPageBreak/>
              <w:t>The Burnham Surgery</w:t>
            </w:r>
          </w:p>
        </w:tc>
        <w:tc>
          <w:tcPr>
            <w:tcW w:w="3005" w:type="dxa"/>
          </w:tcPr>
          <w:p w:rsidRPr="00A6071F" w:rsidR="00176159" w:rsidP="00D22017" w:rsidRDefault="00176159" w14:paraId="1E2948E0" w14:textId="77777777">
            <w:pPr>
              <w:rPr>
                <w:sz w:val="20"/>
                <w:szCs w:val="20"/>
              </w:rPr>
            </w:pPr>
            <w:r w:rsidRPr="001E5524">
              <w:rPr>
                <w:sz w:val="20"/>
                <w:szCs w:val="20"/>
              </w:rPr>
              <w:t>Reepham &amp; Alysham</w:t>
            </w:r>
            <w:r>
              <w:rPr>
                <w:sz w:val="20"/>
                <w:szCs w:val="20"/>
              </w:rPr>
              <w:t xml:space="preserve"> Surgery </w:t>
            </w:r>
          </w:p>
        </w:tc>
        <w:tc>
          <w:tcPr>
            <w:tcW w:w="3199" w:type="dxa"/>
          </w:tcPr>
          <w:p w:rsidRPr="008E12A4" w:rsidR="00176159" w:rsidP="00D22017" w:rsidRDefault="00176159" w14:paraId="30DD76F8" w14:textId="77777777">
            <w:pPr>
              <w:rPr>
                <w:sz w:val="20"/>
                <w:szCs w:val="20"/>
              </w:rPr>
            </w:pPr>
            <w:r w:rsidRPr="00712C04">
              <w:rPr>
                <w:sz w:val="20"/>
                <w:szCs w:val="20"/>
              </w:rPr>
              <w:t>Lakenham</w:t>
            </w:r>
            <w:r>
              <w:rPr>
                <w:sz w:val="20"/>
                <w:szCs w:val="20"/>
              </w:rPr>
              <w:t xml:space="preserve"> Surgery</w:t>
            </w:r>
          </w:p>
        </w:tc>
      </w:tr>
      <w:tr w:rsidRPr="003C451F" w:rsidR="00176159" w:rsidTr="00D22017" w14:paraId="3A631B58" w14:textId="77777777">
        <w:tc>
          <w:tcPr>
            <w:tcW w:w="3294" w:type="dxa"/>
          </w:tcPr>
          <w:p w:rsidRPr="00B85E12" w:rsidR="00176159" w:rsidP="00D22017" w:rsidRDefault="00176159" w14:paraId="4CD3CD47" w14:textId="77777777">
            <w:pPr>
              <w:rPr>
                <w:sz w:val="20"/>
                <w:szCs w:val="20"/>
              </w:rPr>
            </w:pPr>
            <w:r w:rsidRPr="00F3271A">
              <w:rPr>
                <w:sz w:val="20"/>
                <w:szCs w:val="20"/>
              </w:rPr>
              <w:t>Oak Street</w:t>
            </w:r>
            <w:r>
              <w:rPr>
                <w:sz w:val="20"/>
                <w:szCs w:val="20"/>
              </w:rPr>
              <w:t xml:space="preserve"> Medical Practice</w:t>
            </w:r>
          </w:p>
        </w:tc>
        <w:tc>
          <w:tcPr>
            <w:tcW w:w="3005" w:type="dxa"/>
          </w:tcPr>
          <w:p w:rsidRPr="00A6071F" w:rsidR="00176159" w:rsidP="00D22017" w:rsidRDefault="00176159" w14:paraId="7476F73B" w14:textId="77777777">
            <w:pPr>
              <w:rPr>
                <w:sz w:val="20"/>
                <w:szCs w:val="20"/>
              </w:rPr>
            </w:pPr>
            <w:r w:rsidRPr="002F2F19">
              <w:rPr>
                <w:sz w:val="20"/>
                <w:szCs w:val="20"/>
              </w:rPr>
              <w:t>UEA Medical Centre</w:t>
            </w:r>
          </w:p>
        </w:tc>
        <w:tc>
          <w:tcPr>
            <w:tcW w:w="3199" w:type="dxa"/>
          </w:tcPr>
          <w:p w:rsidRPr="008E12A4" w:rsidR="00176159" w:rsidP="00D22017" w:rsidRDefault="00176159" w14:paraId="12F7757E" w14:textId="77777777">
            <w:pPr>
              <w:rPr>
                <w:sz w:val="20"/>
                <w:szCs w:val="20"/>
              </w:rPr>
            </w:pPr>
            <w:r w:rsidRPr="005F3FEA">
              <w:rPr>
                <w:sz w:val="20"/>
                <w:szCs w:val="20"/>
              </w:rPr>
              <w:t>Woodcock</w:t>
            </w:r>
            <w:r>
              <w:rPr>
                <w:sz w:val="20"/>
                <w:szCs w:val="20"/>
              </w:rPr>
              <w:t xml:space="preserve"> Road Surgery</w:t>
            </w:r>
          </w:p>
        </w:tc>
      </w:tr>
      <w:tr w:rsidRPr="003C451F" w:rsidR="00176159" w:rsidTr="00D22017" w14:paraId="53E66E0A" w14:textId="77777777">
        <w:tc>
          <w:tcPr>
            <w:tcW w:w="3294" w:type="dxa"/>
          </w:tcPr>
          <w:p w:rsidRPr="00F3271A" w:rsidR="00176159" w:rsidP="00D22017" w:rsidRDefault="00176159" w14:paraId="071CDE22" w14:textId="77777777">
            <w:pPr>
              <w:rPr>
                <w:sz w:val="20"/>
                <w:szCs w:val="20"/>
              </w:rPr>
            </w:pPr>
            <w:r>
              <w:rPr>
                <w:sz w:val="20"/>
                <w:szCs w:val="20"/>
              </w:rPr>
              <w:t>Old Catton Medical Practice</w:t>
            </w:r>
          </w:p>
        </w:tc>
        <w:tc>
          <w:tcPr>
            <w:tcW w:w="3005" w:type="dxa"/>
          </w:tcPr>
          <w:p w:rsidRPr="002F2F19" w:rsidR="00176159" w:rsidP="00D22017" w:rsidRDefault="00176159" w14:paraId="798265B0" w14:textId="77777777">
            <w:pPr>
              <w:rPr>
                <w:sz w:val="20"/>
                <w:szCs w:val="20"/>
              </w:rPr>
            </w:pPr>
          </w:p>
        </w:tc>
        <w:tc>
          <w:tcPr>
            <w:tcW w:w="3199" w:type="dxa"/>
          </w:tcPr>
          <w:p w:rsidRPr="005F3FEA" w:rsidR="00176159" w:rsidP="00D22017" w:rsidRDefault="00176159" w14:paraId="1A83F8A4" w14:textId="77777777">
            <w:pPr>
              <w:rPr>
                <w:sz w:val="20"/>
                <w:szCs w:val="20"/>
              </w:rPr>
            </w:pPr>
          </w:p>
        </w:tc>
      </w:tr>
    </w:tbl>
    <w:p w:rsidRPr="009732B5" w:rsidR="0093707C" w:rsidP="009732B5" w:rsidRDefault="0093707C" w14:paraId="7E3F17BC" w14:textId="77777777">
      <w:bookmarkStart w:name="_GoBack" w:id="4"/>
      <w:bookmarkEnd w:id="4"/>
    </w:p>
    <w:p w:rsidR="00ED5CD6" w:rsidP="00ED5CD6" w:rsidRDefault="00ED5CD6" w14:paraId="78CE0B99" w14:textId="795A8DBC">
      <w:pPr>
        <w:pStyle w:val="Heading1"/>
      </w:pPr>
      <w:bookmarkStart w:name="_Toc6745189" w:id="5"/>
      <w:r>
        <w:t>Definitions</w:t>
      </w:r>
      <w:bookmarkEnd w:id="3"/>
      <w:bookmarkEnd w:id="5"/>
    </w:p>
    <w:p w:rsidRPr="005E6604" w:rsidR="00ED5CD6" w:rsidP="007E386A" w:rsidRDefault="00ED5CD6" w14:paraId="139FF448" w14:textId="1F63CA0D">
      <w:pPr>
        <w:ind w:left="4320" w:hanging="4320"/>
      </w:pPr>
      <w:r w:rsidRPr="000818B6">
        <w:rPr>
          <w:b/>
        </w:rPr>
        <w:t>Personal Confidential Information</w:t>
      </w:r>
      <w:r>
        <w:t xml:space="preserve"> </w:t>
      </w:r>
      <w:r>
        <w:tab/>
      </w:r>
      <w:r>
        <w:t xml:space="preserve">This term is intended to cover information captured by the Data Protection Act </w:t>
      </w:r>
      <w:r w:rsidR="00EC788C">
        <w:t xml:space="preserve">2018 </w:t>
      </w:r>
      <w:r>
        <w:t>/ GDPR (identifiable information about the living), information covered by the Common Law Duty of Confidence / Tort of Misuse of Private Information and finally, information covered by Article 8 European Convention for Human Rights.</w:t>
      </w:r>
    </w:p>
    <w:p w:rsidR="00B94E5A" w:rsidP="00F03257" w:rsidRDefault="00B94E5A" w14:paraId="78E4CC8A" w14:textId="2349B361">
      <w:pPr>
        <w:pStyle w:val="Heading1"/>
      </w:pPr>
      <w:bookmarkStart w:name="_Toc6745190" w:id="6"/>
      <w:r w:rsidRPr="00B94E5A">
        <w:t>Introduction</w:t>
      </w:r>
      <w:bookmarkEnd w:id="6"/>
    </w:p>
    <w:p w:rsidR="00E90D5E" w:rsidP="00E90D5E" w:rsidRDefault="00D22621" w14:paraId="040B54E8" w14:textId="2A4B7DFE">
      <w:r>
        <w:t xml:space="preserve">This protocol intends to support staff in </w:t>
      </w:r>
      <w:r w:rsidR="00D65BCB">
        <w:t>recognising records</w:t>
      </w:r>
      <w:r>
        <w:t xml:space="preserve"> and </w:t>
      </w:r>
      <w:r w:rsidR="00117086">
        <w:t>appropriate management of the records lifecycle and to encourage data quality across the organisation.</w:t>
      </w:r>
    </w:p>
    <w:p w:rsidR="00B94E5A" w:rsidP="00F03257" w:rsidRDefault="00F03257" w14:paraId="4022E063" w14:textId="60F0DACD">
      <w:pPr>
        <w:pStyle w:val="Heading1"/>
      </w:pPr>
      <w:bookmarkStart w:name="_Toc6745191" w:id="7"/>
      <w:r>
        <w:t>Statutory Mandatory Framework</w:t>
      </w:r>
      <w:bookmarkEnd w:id="7"/>
    </w:p>
    <w:p w:rsidR="00A55A7F" w:rsidP="00930090" w:rsidRDefault="00A55A7F" w14:paraId="1306D673" w14:textId="5E32FADC">
      <w:r>
        <w:t>Records of NHS organisations are public records in accordance with Schedule 1 of the Public Records Act 195811. This includes records controlled by NHS organisations under contractual or other joint arrangements, or as inherited legacy records of defunct NHS organisations. This applies regardless of the records format.</w:t>
      </w:r>
    </w:p>
    <w:p w:rsidRPr="00A55A7F" w:rsidR="00A55A7F" w:rsidP="00930090" w:rsidRDefault="00A55A7F" w14:paraId="64CEC301" w14:textId="33070F1E">
      <w:r>
        <w:t>Effective records management allows organisations to comply with their legal obligations in respect to transparency and privacy. Being able to locate and rely on records of operations and processing of Personal Confidential Information allows the organisation to be accountable and to operate more effectively.</w:t>
      </w:r>
    </w:p>
    <w:p w:rsidR="00B94E5A" w:rsidP="00163DF8" w:rsidRDefault="00B94E5A" w14:paraId="150710AB" w14:textId="77777777">
      <w:pPr>
        <w:pStyle w:val="Heading1"/>
      </w:pPr>
      <w:bookmarkStart w:name="_Toc6745192" w:id="8"/>
      <w:r>
        <w:t>Accountable Parties</w:t>
      </w:r>
      <w:bookmarkEnd w:id="8"/>
    </w:p>
    <w:p w:rsidR="00163DF8" w:rsidP="00163DF8" w:rsidRDefault="00735409" w14:paraId="7D598877" w14:textId="40C569D3">
      <w:pPr>
        <w:spacing w:after="120"/>
        <w:ind w:right="-694"/>
        <w:jc w:val="both"/>
        <w:rPr>
          <w:rFonts w:cs="Calibri"/>
        </w:rPr>
      </w:pPr>
      <w:r>
        <w:rPr>
          <w:rFonts w:cs="Calibri"/>
        </w:rPr>
        <w:t>See Information Governance Policy for key roles.</w:t>
      </w:r>
    </w:p>
    <w:p w:rsidR="00735409" w:rsidP="00735409" w:rsidRDefault="00735409" w14:paraId="4924CD10" w14:textId="2102FED3">
      <w:r w:rsidRPr="00482CBD">
        <w:t xml:space="preserve">All staff, whether management or administrative, who create, receive and use </w:t>
      </w:r>
      <w:r w:rsidR="00ED5CD6">
        <w:t>Personal Confidential I</w:t>
      </w:r>
      <w:r w:rsidR="00D22621">
        <w:t>nformation</w:t>
      </w:r>
      <w:r w:rsidRPr="00482CBD">
        <w:t xml:space="preserve"> have responsibilities</w:t>
      </w:r>
      <w:r>
        <w:t xml:space="preserve"> to </w:t>
      </w:r>
      <w:r w:rsidR="00ED5CD6">
        <w:t xml:space="preserve">ensure </w:t>
      </w:r>
      <w:r w:rsidR="00A55A7F">
        <w:t xml:space="preserve">management of the full records management lifecycle and the quality of records held by </w:t>
      </w:r>
      <w:r w:rsidRPr="009E5DA0" w:rsidR="009E5DA0">
        <w:rPr>
          <w:b/>
        </w:rPr>
        <w:t>The Practice</w:t>
      </w:r>
      <w:r w:rsidRPr="00482CBD">
        <w:t>.</w:t>
      </w:r>
      <w:r>
        <w:t xml:space="preserve"> Employees have a </w:t>
      </w:r>
      <w:r>
        <w:lastRenderedPageBreak/>
        <w:t>contractual and legal obligation to read and comply with all company policies and to attend mandatory training to support the appropriate management of information.</w:t>
      </w:r>
    </w:p>
    <w:p w:rsidR="00ED5CD6" w:rsidP="00ED5CD6" w:rsidRDefault="00ED5CD6" w14:paraId="0479843A" w14:textId="5FAE23F7">
      <w:pPr>
        <w:pStyle w:val="Heading1"/>
      </w:pPr>
      <w:bookmarkStart w:name="_Toc6745193" w:id="9"/>
      <w:r>
        <w:t>What Information is Covered?</w:t>
      </w:r>
      <w:bookmarkEnd w:id="9"/>
    </w:p>
    <w:p w:rsidR="008C3BA8" w:rsidP="00930090" w:rsidRDefault="008C3BA8" w14:paraId="5BD43A22" w14:textId="77777777">
      <w:pPr>
        <w:pStyle w:val="BodyText"/>
        <w:rPr>
          <w:lang w:eastAsia="en-GB"/>
        </w:rPr>
      </w:pPr>
      <w:r>
        <w:rPr>
          <w:lang w:eastAsia="en-GB"/>
        </w:rPr>
        <w:t xml:space="preserve">Information is a corporate asset and as such, is an important source of administrative, financial, legal, evidential and historical information; it is vital to the organisation’s future operations, for the purposes of accountability and for an awareness and understanding of its history; information is the corporate memory of the organisation. </w:t>
      </w:r>
    </w:p>
    <w:p w:rsidR="00ED5CD6" w:rsidP="00ED5CD6" w:rsidRDefault="00ED5CD6" w14:paraId="37997BF0" w14:textId="6FC23BAA">
      <w:pPr>
        <w:pStyle w:val="BodyText"/>
        <w:jc w:val="both"/>
      </w:pPr>
      <w:r w:rsidRPr="007A0C25">
        <w:t>Information may be held on paper, USB sticks, computer file or printout, laptops, tablets, mobile phones or even heard by word of mouth</w:t>
      </w:r>
      <w:r>
        <w:t xml:space="preserve"> or telephone</w:t>
      </w:r>
      <w:r w:rsidRPr="007A0C25">
        <w:t>.</w:t>
      </w:r>
    </w:p>
    <w:p w:rsidR="00A55A7F" w:rsidP="00ED5CD6" w:rsidRDefault="00A55A7F" w14:paraId="0977E91D" w14:textId="14E21FEF">
      <w:pPr>
        <w:pStyle w:val="BodyText"/>
        <w:jc w:val="both"/>
        <w:rPr>
          <w:b/>
        </w:rPr>
      </w:pPr>
      <w:r>
        <w:t xml:space="preserve">This protocol provides general guidance about records management and data quality. When managing medical records, it is also necessary to comply with the standards identified at </w:t>
      </w:r>
      <w:r w:rsidRPr="00A55A7F">
        <w:rPr>
          <w:b/>
        </w:rPr>
        <w:t>Appendix A Standards for Medical Records.</w:t>
      </w:r>
    </w:p>
    <w:p w:rsidR="008C3BA8" w:rsidP="008C3BA8" w:rsidRDefault="008C3BA8" w14:paraId="6C415CE8" w14:textId="0E743D88">
      <w:pPr>
        <w:pStyle w:val="Default"/>
        <w:spacing w:before="120" w:line="360" w:lineRule="auto"/>
        <w:rPr>
          <w:rFonts w:ascii="Arial Nova Light" w:hAnsi="Arial Nova Light" w:eastAsia="Verdana" w:cs="Verdana"/>
          <w:color w:val="auto"/>
          <w:sz w:val="22"/>
          <w:szCs w:val="20"/>
          <w:lang w:val="en-US" w:eastAsia="en-US"/>
        </w:rPr>
      </w:pPr>
      <w:r w:rsidRPr="008C3BA8">
        <w:rPr>
          <w:rFonts w:ascii="Arial Nova Light" w:hAnsi="Arial Nova Light" w:eastAsia="Verdana" w:cs="Verdana"/>
          <w:color w:val="auto"/>
          <w:sz w:val="22"/>
          <w:szCs w:val="20"/>
          <w:lang w:val="en-US" w:eastAsia="en-US"/>
        </w:rPr>
        <w:t xml:space="preserve">Without high-standards of information quality, supported by systematic processes and practice, we cannot support the delivery of high quality </w:t>
      </w:r>
      <w:r>
        <w:rPr>
          <w:rFonts w:ascii="Arial Nova Light" w:hAnsi="Arial Nova Light" w:eastAsia="Verdana" w:cs="Verdana"/>
          <w:color w:val="auto"/>
          <w:sz w:val="22"/>
          <w:szCs w:val="20"/>
          <w:lang w:val="en-US" w:eastAsia="en-US"/>
        </w:rPr>
        <w:t>services</w:t>
      </w:r>
      <w:r w:rsidRPr="008C3BA8">
        <w:rPr>
          <w:rFonts w:ascii="Arial Nova Light" w:hAnsi="Arial Nova Light" w:eastAsia="Verdana" w:cs="Verdana"/>
          <w:color w:val="auto"/>
          <w:sz w:val="22"/>
          <w:szCs w:val="20"/>
          <w:lang w:val="en-US" w:eastAsia="en-US"/>
        </w:rPr>
        <w:t xml:space="preserve"> and </w:t>
      </w:r>
      <w:r>
        <w:rPr>
          <w:rFonts w:ascii="Arial Nova Light" w:hAnsi="Arial Nova Light" w:eastAsia="Verdana" w:cs="Verdana"/>
          <w:color w:val="auto"/>
          <w:sz w:val="22"/>
          <w:szCs w:val="20"/>
          <w:lang w:val="en-US" w:eastAsia="en-US"/>
        </w:rPr>
        <w:t>continue to improve</w:t>
      </w:r>
      <w:r w:rsidRPr="008C3BA8">
        <w:rPr>
          <w:rFonts w:ascii="Arial Nova Light" w:hAnsi="Arial Nova Light" w:eastAsia="Verdana" w:cs="Verdana"/>
          <w:color w:val="auto"/>
          <w:sz w:val="22"/>
          <w:szCs w:val="20"/>
          <w:lang w:val="en-US" w:eastAsia="en-US"/>
        </w:rPr>
        <w:t>.</w:t>
      </w:r>
    </w:p>
    <w:p w:rsidR="008C3BA8" w:rsidP="008C3BA8" w:rsidRDefault="008C3BA8" w14:paraId="1C694261" w14:textId="72178A23">
      <w:pPr>
        <w:pStyle w:val="Default"/>
        <w:spacing w:before="120" w:line="360" w:lineRule="auto"/>
        <w:rPr>
          <w:rFonts w:ascii="Arial Nova Light" w:hAnsi="Arial Nova Light" w:eastAsia="Verdana" w:cs="Verdana"/>
          <w:color w:val="auto"/>
          <w:sz w:val="22"/>
          <w:szCs w:val="20"/>
          <w:lang w:val="en-US" w:eastAsia="en-US"/>
        </w:rPr>
      </w:pPr>
      <w:r>
        <w:rPr>
          <w:rFonts w:ascii="Arial Nova Light" w:hAnsi="Arial Nova Light" w:eastAsia="Verdana" w:cs="Verdana"/>
          <w:color w:val="auto"/>
          <w:sz w:val="22"/>
          <w:szCs w:val="20"/>
          <w:lang w:val="en-US" w:eastAsia="en-US"/>
        </w:rPr>
        <w:t>The diagram below identifies the records management lifecycle and each part of the lifecycle needs to be consistently managed to encourage high standards.</w:t>
      </w:r>
    </w:p>
    <w:p w:rsidR="008C3BA8" w:rsidP="008C3BA8" w:rsidRDefault="008C3BA8" w14:paraId="35153C78" w14:textId="2A7A37A1">
      <w:pPr>
        <w:pStyle w:val="Default"/>
        <w:spacing w:before="120" w:line="360" w:lineRule="auto"/>
        <w:jc w:val="center"/>
        <w:rPr>
          <w:rFonts w:ascii="Arial Nova Light" w:hAnsi="Arial Nova Light" w:eastAsia="Verdana" w:cs="Verdana"/>
          <w:color w:val="auto"/>
          <w:sz w:val="22"/>
          <w:szCs w:val="20"/>
          <w:lang w:val="en-US" w:eastAsia="en-US"/>
        </w:rPr>
      </w:pPr>
      <w:r>
        <w:rPr>
          <w:noProof/>
        </w:rPr>
        <w:drawing>
          <wp:inline distT="0" distB="0" distL="0" distR="0" wp14:anchorId="2DB4D350" wp14:editId="17616534">
            <wp:extent cx="4638675" cy="260925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0413" t="47882" r="32362" b="14876"/>
                    <a:stretch/>
                  </pic:blipFill>
                  <pic:spPr bwMode="auto">
                    <a:xfrm>
                      <a:off x="0" y="0"/>
                      <a:ext cx="4661212" cy="2621932"/>
                    </a:xfrm>
                    <a:prstGeom prst="rect">
                      <a:avLst/>
                    </a:prstGeom>
                    <a:ln>
                      <a:noFill/>
                    </a:ln>
                    <a:extLst>
                      <a:ext uri="{53640926-AAD7-44D8-BBD7-CCE9431645EC}">
                        <a14:shadowObscured xmlns:a14="http://schemas.microsoft.com/office/drawing/2010/main"/>
                      </a:ext>
                    </a:extLst>
                  </pic:spPr>
                </pic:pic>
              </a:graphicData>
            </a:graphic>
          </wp:inline>
        </w:drawing>
      </w:r>
    </w:p>
    <w:p w:rsidR="00A66378" w:rsidP="008C3BA8" w:rsidRDefault="00A66378" w14:paraId="5C5B5E1F" w14:textId="3D0F1DB2">
      <w:pPr>
        <w:pStyle w:val="Heading1"/>
      </w:pPr>
      <w:bookmarkStart w:name="_Toc6745194" w:id="10"/>
      <w:r>
        <w:t>What is a Record?</w:t>
      </w:r>
      <w:bookmarkEnd w:id="10"/>
    </w:p>
    <w:p w:rsidRPr="00A66378" w:rsidR="00A66378" w:rsidP="00A66378" w:rsidRDefault="00A66378" w14:paraId="07F30ED5" w14:textId="63FB7905">
      <w:r w:rsidRPr="00A66378">
        <w:t xml:space="preserve">A record is information that memorializes and provides evidence of activities performed, events occurred, results achieved, or statements made. Records are created/received by an organisation routinely in the process of its business or in pursuance of its legal obligations. </w:t>
      </w:r>
      <w:r w:rsidRPr="00A66378">
        <w:br/>
      </w:r>
      <w:r w:rsidRPr="00A66378">
        <w:lastRenderedPageBreak/>
        <w:t xml:space="preserve">Records include accounts, agreements, books, drawings, letters, magnetic/optical disks, memos, micrographics, etc. Generally speaking, </w:t>
      </w:r>
      <w:r>
        <w:t>‘</w:t>
      </w:r>
      <w:r w:rsidRPr="00A66378">
        <w:t>records</w:t>
      </w:r>
      <w:r>
        <w:t>’</w:t>
      </w:r>
      <w:r w:rsidRPr="00A66378">
        <w:t xml:space="preserve"> function as evidence of activities, whereas </w:t>
      </w:r>
      <w:r>
        <w:t>‘</w:t>
      </w:r>
      <w:r w:rsidRPr="00A66378">
        <w:t>documents</w:t>
      </w:r>
      <w:r>
        <w:t>’</w:t>
      </w:r>
      <w:r w:rsidRPr="00A66378">
        <w:t xml:space="preserve"> function as evidence of intentions.</w:t>
      </w:r>
      <w:r>
        <w:rPr>
          <w:rFonts w:ascii="Arial" w:hAnsi="Arial" w:cs="Arial"/>
          <w:color w:val="000000"/>
          <w:sz w:val="21"/>
          <w:szCs w:val="21"/>
        </w:rPr>
        <w:br/>
      </w:r>
      <w:r>
        <w:t>Some activity will be predefined as a record that needs to be kept, such as clinical records. Other records are kept because they are a unique instance of an event such as a business document or email.</w:t>
      </w:r>
    </w:p>
    <w:p w:rsidRPr="008C3BA8" w:rsidR="008C3BA8" w:rsidP="008C3BA8" w:rsidRDefault="008C3BA8" w14:paraId="6025F3A9" w14:textId="7A69862E">
      <w:pPr>
        <w:pStyle w:val="Heading1"/>
      </w:pPr>
      <w:bookmarkStart w:name="_Toc6745195" w:id="11"/>
      <w:r>
        <w:t>Creation</w:t>
      </w:r>
      <w:bookmarkEnd w:id="11"/>
    </w:p>
    <w:p w:rsidR="008C3BA8" w:rsidP="008C3BA8" w:rsidRDefault="008C3BA8" w14:paraId="3538015B" w14:textId="45F12884">
      <w:pPr>
        <w:pStyle w:val="Default"/>
        <w:spacing w:before="120" w:line="360" w:lineRule="auto"/>
        <w:rPr>
          <w:rFonts w:ascii="Arial Nova Light" w:hAnsi="Arial Nova Light" w:eastAsia="Verdana" w:cs="Verdana"/>
          <w:color w:val="auto"/>
          <w:sz w:val="22"/>
          <w:szCs w:val="20"/>
          <w:lang w:val="en-US" w:eastAsia="en-US"/>
        </w:rPr>
      </w:pPr>
      <w:r>
        <w:rPr>
          <w:rFonts w:ascii="Arial Nova Light" w:hAnsi="Arial Nova Light" w:eastAsia="Verdana" w:cs="Verdana"/>
          <w:color w:val="auto"/>
          <w:sz w:val="22"/>
          <w:szCs w:val="20"/>
          <w:lang w:val="en-US" w:eastAsia="en-US"/>
        </w:rPr>
        <w:t>Records must be created within clinical systems</w:t>
      </w:r>
      <w:r w:rsidR="00A66378">
        <w:rPr>
          <w:rFonts w:ascii="Arial Nova Light" w:hAnsi="Arial Nova Light" w:eastAsia="Verdana" w:cs="Verdana"/>
          <w:color w:val="auto"/>
          <w:sz w:val="22"/>
          <w:szCs w:val="20"/>
          <w:lang w:val="en-US" w:eastAsia="en-US"/>
        </w:rPr>
        <w:t xml:space="preserve"> or stored in the shared network</w:t>
      </w:r>
    </w:p>
    <w:p w:rsidR="00A66378" w:rsidP="008C3BA8" w:rsidRDefault="00A66378" w14:paraId="4FAC2BAA" w14:textId="4F24CDF7">
      <w:pPr>
        <w:pStyle w:val="Default"/>
        <w:spacing w:before="120" w:line="360" w:lineRule="auto"/>
        <w:rPr>
          <w:rFonts w:ascii="Arial Nova Light" w:hAnsi="Arial Nova Light" w:eastAsia="Verdana" w:cs="Verdana"/>
          <w:color w:val="auto"/>
          <w:sz w:val="22"/>
          <w:szCs w:val="20"/>
          <w:lang w:val="en-US" w:eastAsia="en-US"/>
        </w:rPr>
      </w:pPr>
      <w:r>
        <w:rPr>
          <w:rFonts w:ascii="Arial Nova Light" w:hAnsi="Arial Nova Light" w:eastAsia="Verdana" w:cs="Verdana"/>
          <w:color w:val="auto"/>
          <w:sz w:val="22"/>
          <w:szCs w:val="20"/>
          <w:lang w:val="en-US" w:eastAsia="en-US"/>
        </w:rPr>
        <w:t>Records must not be stored in personal drives or mobile devices such as mobiles or memory sticks</w:t>
      </w:r>
    </w:p>
    <w:p w:rsidR="00A66378" w:rsidP="008C3BA8" w:rsidRDefault="00A66378" w14:paraId="51FE6149" w14:textId="1F669DBB">
      <w:pPr>
        <w:pStyle w:val="Default"/>
        <w:spacing w:before="120" w:line="360" w:lineRule="auto"/>
        <w:rPr>
          <w:rFonts w:ascii="Arial Nova Light" w:hAnsi="Arial Nova Light" w:eastAsia="Verdana" w:cs="Verdana"/>
          <w:color w:val="auto"/>
          <w:sz w:val="22"/>
          <w:szCs w:val="20"/>
          <w:lang w:val="en-US" w:eastAsia="en-US"/>
        </w:rPr>
      </w:pPr>
      <w:r>
        <w:rPr>
          <w:rFonts w:ascii="Arial Nova Light" w:hAnsi="Arial Nova Light" w:eastAsia="Verdana" w:cs="Verdana"/>
          <w:color w:val="auto"/>
          <w:sz w:val="22"/>
          <w:szCs w:val="20"/>
          <w:lang w:val="en-US" w:eastAsia="en-US"/>
        </w:rPr>
        <w:t xml:space="preserve">The filing and naming of records should follow the </w:t>
      </w:r>
      <w:r w:rsidRPr="00A66378">
        <w:rPr>
          <w:rFonts w:ascii="Arial Nova Light" w:hAnsi="Arial Nova Light" w:eastAsia="Verdana" w:cs="Verdana"/>
          <w:color w:val="auto"/>
          <w:sz w:val="22"/>
          <w:szCs w:val="20"/>
          <w:lang w:val="en-US" w:eastAsia="en-US"/>
        </w:rPr>
        <w:t>Function-Activity-Transaction</w:t>
      </w:r>
      <w:r>
        <w:rPr>
          <w:rFonts w:ascii="Arial Nova Light" w:hAnsi="Arial Nova Light" w:eastAsia="Verdana" w:cs="Verdana"/>
          <w:color w:val="auto"/>
          <w:sz w:val="22"/>
          <w:szCs w:val="20"/>
          <w:lang w:val="en-US" w:eastAsia="en-US"/>
        </w:rPr>
        <w:t xml:space="preserve"> approach.</w:t>
      </w:r>
    </w:p>
    <w:p w:rsidR="00A66378" w:rsidP="008C3BA8" w:rsidRDefault="00A66378" w14:paraId="3EBDE04E" w14:textId="28E96CA6">
      <w:pPr>
        <w:pStyle w:val="Default"/>
        <w:spacing w:before="120" w:line="360" w:lineRule="auto"/>
        <w:rPr>
          <w:rFonts w:ascii="Arial Nova Light" w:hAnsi="Arial Nova Light" w:eastAsia="Verdana" w:cs="Verdana"/>
          <w:color w:val="auto"/>
          <w:sz w:val="22"/>
          <w:szCs w:val="20"/>
          <w:lang w:val="en-US" w:eastAsia="en-US"/>
        </w:rPr>
      </w:pPr>
      <w:r>
        <w:rPr>
          <w:rFonts w:ascii="Arial Nova Light" w:hAnsi="Arial Nova Light" w:eastAsia="Verdana" w:cs="Verdana"/>
          <w:color w:val="auto"/>
          <w:sz w:val="22"/>
          <w:szCs w:val="20"/>
          <w:lang w:val="en-US" w:eastAsia="en-US"/>
        </w:rPr>
        <w:t xml:space="preserve">This means that the </w:t>
      </w:r>
      <w:r w:rsidR="00830E8F">
        <w:rPr>
          <w:rFonts w:ascii="Arial Nova Light" w:hAnsi="Arial Nova Light" w:eastAsia="Verdana" w:cs="Verdana"/>
          <w:color w:val="auto"/>
          <w:sz w:val="22"/>
          <w:szCs w:val="20"/>
          <w:lang w:val="en-US" w:eastAsia="en-US"/>
        </w:rPr>
        <w:t>top-level</w:t>
      </w:r>
      <w:r>
        <w:rPr>
          <w:rFonts w:ascii="Arial Nova Light" w:hAnsi="Arial Nova Light" w:eastAsia="Verdana" w:cs="Verdana"/>
          <w:color w:val="auto"/>
          <w:sz w:val="22"/>
          <w:szCs w:val="20"/>
          <w:lang w:val="en-US" w:eastAsia="en-US"/>
        </w:rPr>
        <w:t xml:space="preserve"> folder would be named in line with the function, the second level named in line with the activity and the </w:t>
      </w:r>
      <w:r w:rsidR="00830E8F">
        <w:rPr>
          <w:rFonts w:ascii="Arial Nova Light" w:hAnsi="Arial Nova Light" w:eastAsia="Verdana" w:cs="Verdana"/>
          <w:color w:val="auto"/>
          <w:sz w:val="22"/>
          <w:szCs w:val="20"/>
          <w:lang w:val="en-US" w:eastAsia="en-US"/>
        </w:rPr>
        <w:t>then</w:t>
      </w:r>
      <w:r>
        <w:rPr>
          <w:rFonts w:ascii="Arial Nova Light" w:hAnsi="Arial Nova Light" w:eastAsia="Verdana" w:cs="Verdana"/>
          <w:color w:val="auto"/>
          <w:sz w:val="22"/>
          <w:szCs w:val="20"/>
          <w:lang w:val="en-US" w:eastAsia="en-US"/>
        </w:rPr>
        <w:t xml:space="preserve"> in line with the transaction.</w:t>
      </w:r>
    </w:p>
    <w:p w:rsidR="00E718DB" w:rsidP="008C3BA8" w:rsidRDefault="00A66378" w14:paraId="0C795EA8" w14:textId="77777777">
      <w:pPr>
        <w:pStyle w:val="Default"/>
        <w:spacing w:before="120" w:line="360" w:lineRule="auto"/>
        <w:rPr>
          <w:rFonts w:ascii="Arial Nova Light" w:hAnsi="Arial Nova Light" w:eastAsia="Verdana" w:cs="Verdana"/>
          <w:color w:val="auto"/>
          <w:sz w:val="22"/>
          <w:szCs w:val="20"/>
          <w:lang w:val="en-US" w:eastAsia="en-US"/>
        </w:rPr>
      </w:pPr>
      <w:r>
        <w:rPr>
          <w:rFonts w:ascii="Arial Nova Light" w:hAnsi="Arial Nova Light" w:eastAsia="Verdana" w:cs="Verdana"/>
          <w:color w:val="auto"/>
          <w:sz w:val="22"/>
          <w:szCs w:val="20"/>
          <w:lang w:val="en-US" w:eastAsia="en-US"/>
        </w:rPr>
        <w:t>Example</w:t>
      </w:r>
      <w:r w:rsidR="00E718DB">
        <w:rPr>
          <w:rFonts w:ascii="Arial Nova Light" w:hAnsi="Arial Nova Light" w:eastAsia="Verdana" w:cs="Verdana"/>
          <w:color w:val="auto"/>
          <w:sz w:val="22"/>
          <w:szCs w:val="20"/>
          <w:lang w:val="en-US" w:eastAsia="en-US"/>
        </w:rPr>
        <w:t xml:space="preserve"> of </w:t>
      </w:r>
    </w:p>
    <w:p w:rsidR="00A66378" w:rsidP="008C3BA8" w:rsidRDefault="00E718DB" w14:paraId="01DADB33" w14:textId="448663CA">
      <w:pPr>
        <w:pStyle w:val="Default"/>
        <w:spacing w:before="120" w:line="360" w:lineRule="auto"/>
        <w:rPr>
          <w:rFonts w:ascii="Arial Nova Light" w:hAnsi="Arial Nova Light" w:eastAsia="Verdana" w:cs="Verdana"/>
          <w:color w:val="auto"/>
          <w:sz w:val="22"/>
          <w:szCs w:val="20"/>
          <w:lang w:val="en-US" w:eastAsia="en-US"/>
        </w:rPr>
      </w:pPr>
      <w:r>
        <w:rPr>
          <w:rFonts w:ascii="Arial Nova Light" w:hAnsi="Arial Nova Light" w:eastAsia="Verdana" w:cs="Verdana"/>
          <w:color w:val="auto"/>
          <w:sz w:val="22"/>
          <w:szCs w:val="20"/>
          <w:lang w:val="en-US" w:eastAsia="en-US"/>
        </w:rPr>
        <w:t>Level 1 – Function – Human Resources</w:t>
      </w:r>
    </w:p>
    <w:p w:rsidR="00A66378" w:rsidP="008C3BA8" w:rsidRDefault="00A66378" w14:paraId="50B028EC" w14:textId="2BAF8EFE">
      <w:pPr>
        <w:pStyle w:val="Default"/>
        <w:spacing w:before="120" w:line="360" w:lineRule="auto"/>
        <w:rPr>
          <w:rFonts w:ascii="Arial Nova Light" w:hAnsi="Arial Nova Light" w:eastAsia="Verdana" w:cs="Verdana"/>
          <w:color w:val="auto"/>
          <w:sz w:val="22"/>
          <w:szCs w:val="20"/>
          <w:lang w:val="en-US" w:eastAsia="en-US"/>
        </w:rPr>
      </w:pPr>
      <w:r>
        <w:rPr>
          <w:noProof/>
        </w:rPr>
        <w:drawing>
          <wp:inline distT="0" distB="0" distL="0" distR="0" wp14:anchorId="090D78FF" wp14:editId="526F4368">
            <wp:extent cx="5587862" cy="1247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2298" t="29852" r="65137" b="61186"/>
                    <a:stretch/>
                  </pic:blipFill>
                  <pic:spPr bwMode="auto">
                    <a:xfrm>
                      <a:off x="0" y="0"/>
                      <a:ext cx="5612285" cy="1253229"/>
                    </a:xfrm>
                    <a:prstGeom prst="rect">
                      <a:avLst/>
                    </a:prstGeom>
                    <a:ln>
                      <a:noFill/>
                    </a:ln>
                    <a:extLst>
                      <a:ext uri="{53640926-AAD7-44D8-BBD7-CCE9431645EC}">
                        <a14:shadowObscured xmlns:a14="http://schemas.microsoft.com/office/drawing/2010/main"/>
                      </a:ext>
                    </a:extLst>
                  </pic:spPr>
                </pic:pic>
              </a:graphicData>
            </a:graphic>
          </wp:inline>
        </w:drawing>
      </w:r>
    </w:p>
    <w:p w:rsidR="00A66378" w:rsidP="008C3BA8" w:rsidRDefault="00E718DB" w14:paraId="05179756" w14:textId="22A4F6A5">
      <w:pPr>
        <w:pStyle w:val="Default"/>
        <w:spacing w:before="120" w:line="360" w:lineRule="auto"/>
        <w:rPr>
          <w:rFonts w:ascii="Arial Nova Light" w:hAnsi="Arial Nova Light" w:eastAsia="Verdana" w:cs="Verdana"/>
          <w:color w:val="auto"/>
          <w:sz w:val="22"/>
          <w:szCs w:val="20"/>
          <w:lang w:val="en-US" w:eastAsia="en-US"/>
        </w:rPr>
      </w:pPr>
      <w:r>
        <w:rPr>
          <w:rFonts w:ascii="Arial Nova Light" w:hAnsi="Arial Nova Light" w:eastAsia="Verdana" w:cs="Verdana"/>
          <w:color w:val="auto"/>
          <w:sz w:val="22"/>
          <w:szCs w:val="20"/>
          <w:lang w:val="en-US" w:eastAsia="en-US"/>
        </w:rPr>
        <w:t>Level 2 – Activity – Recruitment</w:t>
      </w:r>
    </w:p>
    <w:p w:rsidR="00E718DB" w:rsidP="008C3BA8" w:rsidRDefault="00E718DB" w14:paraId="4B2F8066" w14:textId="07AA8809">
      <w:pPr>
        <w:pStyle w:val="Default"/>
        <w:spacing w:before="120" w:line="360" w:lineRule="auto"/>
        <w:rPr>
          <w:rFonts w:ascii="Arial Nova Light" w:hAnsi="Arial Nova Light" w:eastAsia="Verdana" w:cs="Verdana"/>
          <w:color w:val="auto"/>
          <w:sz w:val="22"/>
          <w:szCs w:val="20"/>
          <w:lang w:val="en-US" w:eastAsia="en-US"/>
        </w:rPr>
      </w:pPr>
      <w:r>
        <w:rPr>
          <w:noProof/>
        </w:rPr>
        <w:drawing>
          <wp:inline distT="0" distB="0" distL="0" distR="0" wp14:anchorId="343163BD" wp14:editId="1B0AC88A">
            <wp:extent cx="6108700" cy="12382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1966" t="25419" r="51141" b="61282"/>
                    <a:stretch/>
                  </pic:blipFill>
                  <pic:spPr bwMode="auto">
                    <a:xfrm>
                      <a:off x="0" y="0"/>
                      <a:ext cx="6108700" cy="1238250"/>
                    </a:xfrm>
                    <a:prstGeom prst="rect">
                      <a:avLst/>
                    </a:prstGeom>
                    <a:ln>
                      <a:noFill/>
                    </a:ln>
                    <a:extLst>
                      <a:ext uri="{53640926-AAD7-44D8-BBD7-CCE9431645EC}">
                        <a14:shadowObscured xmlns:a14="http://schemas.microsoft.com/office/drawing/2010/main"/>
                      </a:ext>
                    </a:extLst>
                  </pic:spPr>
                </pic:pic>
              </a:graphicData>
            </a:graphic>
          </wp:inline>
        </w:drawing>
      </w:r>
    </w:p>
    <w:p w:rsidR="00E718DB" w:rsidP="008C3BA8" w:rsidRDefault="00E718DB" w14:paraId="00432CCE" w14:textId="242601C5">
      <w:pPr>
        <w:pStyle w:val="Default"/>
        <w:spacing w:before="120" w:line="360" w:lineRule="auto"/>
        <w:rPr>
          <w:rFonts w:ascii="Arial Nova Light" w:hAnsi="Arial Nova Light" w:eastAsia="Verdana" w:cs="Verdana"/>
          <w:color w:val="auto"/>
          <w:sz w:val="22"/>
          <w:szCs w:val="20"/>
          <w:lang w:val="en-US" w:eastAsia="en-US"/>
        </w:rPr>
      </w:pPr>
      <w:r>
        <w:rPr>
          <w:rFonts w:ascii="Arial Nova Light" w:hAnsi="Arial Nova Light" w:eastAsia="Verdana" w:cs="Verdana"/>
          <w:color w:val="auto"/>
          <w:sz w:val="22"/>
          <w:szCs w:val="20"/>
          <w:lang w:val="en-US" w:eastAsia="en-US"/>
        </w:rPr>
        <w:t>Level 3 – Transaction – Application Forms / Interview Sheets / Offer Letters</w:t>
      </w:r>
    </w:p>
    <w:p w:rsidR="00E718DB" w:rsidP="008C3BA8" w:rsidRDefault="00E718DB" w14:paraId="0BD99596" w14:textId="0B493716">
      <w:pPr>
        <w:pStyle w:val="Default"/>
        <w:spacing w:before="120" w:line="360" w:lineRule="auto"/>
        <w:rPr>
          <w:rFonts w:ascii="Arial Nova Light" w:hAnsi="Arial Nova Light" w:eastAsia="Verdana" w:cs="Verdana"/>
          <w:color w:val="auto"/>
          <w:sz w:val="22"/>
          <w:szCs w:val="20"/>
          <w:lang w:val="en-US" w:eastAsia="en-US"/>
        </w:rPr>
      </w:pPr>
      <w:r>
        <w:rPr>
          <w:noProof/>
        </w:rPr>
        <w:lastRenderedPageBreak/>
        <w:drawing>
          <wp:inline distT="0" distB="0" distL="0" distR="0" wp14:anchorId="12D30AE1" wp14:editId="69357BA5">
            <wp:extent cx="5615809" cy="158115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1966" t="18030" r="53800" b="64827"/>
                    <a:stretch/>
                  </pic:blipFill>
                  <pic:spPr bwMode="auto">
                    <a:xfrm>
                      <a:off x="0" y="0"/>
                      <a:ext cx="5651183" cy="1591110"/>
                    </a:xfrm>
                    <a:prstGeom prst="rect">
                      <a:avLst/>
                    </a:prstGeom>
                    <a:ln>
                      <a:noFill/>
                    </a:ln>
                    <a:extLst>
                      <a:ext uri="{53640926-AAD7-44D8-BBD7-CCE9431645EC}">
                        <a14:shadowObscured xmlns:a14="http://schemas.microsoft.com/office/drawing/2010/main"/>
                      </a:ext>
                    </a:extLst>
                  </pic:spPr>
                </pic:pic>
              </a:graphicData>
            </a:graphic>
          </wp:inline>
        </w:drawing>
      </w:r>
    </w:p>
    <w:p w:rsidR="00A66378" w:rsidP="008C3BA8" w:rsidRDefault="00830E8F" w14:paraId="631A2DA4" w14:textId="174EAD77">
      <w:pPr>
        <w:pStyle w:val="Default"/>
        <w:spacing w:before="120" w:line="360" w:lineRule="auto"/>
        <w:rPr>
          <w:rFonts w:ascii="Arial Nova Light" w:hAnsi="Arial Nova Light" w:eastAsia="Verdana" w:cs="Verdana"/>
          <w:color w:val="auto"/>
          <w:sz w:val="22"/>
          <w:szCs w:val="20"/>
          <w:lang w:val="en-US" w:eastAsia="en-US"/>
        </w:rPr>
      </w:pPr>
      <w:r>
        <w:rPr>
          <w:rFonts w:ascii="Arial Nova Light" w:hAnsi="Arial Nova Light" w:eastAsia="Verdana" w:cs="Verdana"/>
          <w:color w:val="auto"/>
          <w:sz w:val="22"/>
          <w:szCs w:val="20"/>
          <w:lang w:val="en-US" w:eastAsia="en-US"/>
        </w:rPr>
        <w:t>Naming of specific documents should follow a clear consistent method such as including the date of creation or activity, the title and the version.</w:t>
      </w:r>
    </w:p>
    <w:p w:rsidR="00830E8F" w:rsidP="008C3BA8" w:rsidRDefault="00830E8F" w14:paraId="406162D5" w14:textId="66186639">
      <w:pPr>
        <w:pStyle w:val="Default"/>
        <w:spacing w:before="120" w:line="360" w:lineRule="auto"/>
        <w:rPr>
          <w:rFonts w:ascii="Arial Nova Light" w:hAnsi="Arial Nova Light" w:eastAsia="Verdana" w:cs="Verdana"/>
          <w:color w:val="auto"/>
          <w:sz w:val="22"/>
          <w:szCs w:val="20"/>
          <w:lang w:val="en-US" w:eastAsia="en-US"/>
        </w:rPr>
      </w:pPr>
      <w:r>
        <w:rPr>
          <w:rFonts w:ascii="Arial Nova Light" w:hAnsi="Arial Nova Light" w:eastAsia="Verdana" w:cs="Verdana"/>
          <w:color w:val="auto"/>
          <w:sz w:val="22"/>
          <w:szCs w:val="20"/>
          <w:lang w:val="en-US" w:eastAsia="en-US"/>
        </w:rPr>
        <w:t>Example</w:t>
      </w:r>
    </w:p>
    <w:p w:rsidR="00830E8F" w:rsidP="008C3BA8" w:rsidRDefault="00830E8F" w14:paraId="51167D56" w14:textId="046157E4">
      <w:pPr>
        <w:pStyle w:val="Default"/>
        <w:spacing w:before="120" w:line="360" w:lineRule="auto"/>
        <w:rPr>
          <w:rFonts w:ascii="Arial Nova Light" w:hAnsi="Arial Nova Light" w:eastAsia="Verdana" w:cs="Verdana"/>
          <w:color w:val="auto"/>
          <w:sz w:val="22"/>
          <w:szCs w:val="20"/>
          <w:lang w:val="en-US" w:eastAsia="en-US"/>
        </w:rPr>
      </w:pPr>
      <w:r>
        <w:rPr>
          <w:rFonts w:ascii="Arial Nova Light" w:hAnsi="Arial Nova Light" w:eastAsia="Verdana" w:cs="Verdana"/>
          <w:color w:val="auto"/>
          <w:sz w:val="22"/>
          <w:szCs w:val="20"/>
          <w:lang w:val="en-US" w:eastAsia="en-US"/>
        </w:rPr>
        <w:t>20180129 Emma Cooper Application Form v1</w:t>
      </w:r>
    </w:p>
    <w:p w:rsidRPr="008C3BA8" w:rsidR="00830E8F" w:rsidP="008C3BA8" w:rsidRDefault="00830E8F" w14:paraId="25756DD7" w14:textId="77777777">
      <w:pPr>
        <w:pStyle w:val="Default"/>
        <w:spacing w:before="120" w:line="360" w:lineRule="auto"/>
        <w:rPr>
          <w:rFonts w:ascii="Arial Nova Light" w:hAnsi="Arial Nova Light" w:eastAsia="Verdana" w:cs="Verdana"/>
          <w:color w:val="auto"/>
          <w:sz w:val="22"/>
          <w:szCs w:val="20"/>
          <w:lang w:val="en-US" w:eastAsia="en-US"/>
        </w:rPr>
      </w:pPr>
    </w:p>
    <w:p w:rsidR="00830E8F" w:rsidP="00830E8F" w:rsidRDefault="00830E8F" w14:paraId="572B1CF4" w14:textId="58BD2C22">
      <w:pPr>
        <w:pStyle w:val="Heading1"/>
      </w:pPr>
      <w:bookmarkStart w:name="_Toc6745196" w:id="12"/>
      <w:r>
        <w:t>Using / Stor</w:t>
      </w:r>
      <w:r w:rsidR="005003CC">
        <w:t>age</w:t>
      </w:r>
      <w:bookmarkEnd w:id="12"/>
    </w:p>
    <w:p w:rsidR="00830E8F" w:rsidP="00830E8F" w:rsidRDefault="00830E8F" w14:paraId="51CC8643" w14:textId="77777777">
      <w:pPr>
        <w:pStyle w:val="Default"/>
        <w:spacing w:before="120"/>
      </w:pPr>
      <w:r>
        <w:t>Paper Records</w:t>
      </w:r>
    </w:p>
    <w:p w:rsidR="00B14990" w:rsidP="00830E8F" w:rsidRDefault="00830E8F" w14:paraId="6251F1F8" w14:textId="0F318058">
      <w:pPr>
        <w:pStyle w:val="Default"/>
        <w:spacing w:before="120" w:line="360" w:lineRule="auto"/>
        <w:rPr>
          <w:rFonts w:ascii="Arial Nova Light" w:hAnsi="Arial Nova Light" w:eastAsia="Verdana" w:cs="Verdana"/>
          <w:color w:val="auto"/>
          <w:sz w:val="22"/>
          <w:szCs w:val="20"/>
          <w:lang w:val="en-US" w:eastAsia="en-US"/>
        </w:rPr>
      </w:pPr>
      <w:r w:rsidRPr="00830E8F">
        <w:rPr>
          <w:rFonts w:ascii="Arial Nova Light" w:hAnsi="Arial Nova Light" w:eastAsia="Verdana" w:cs="Verdana"/>
          <w:color w:val="auto"/>
          <w:sz w:val="22"/>
          <w:szCs w:val="20"/>
          <w:lang w:val="en-US" w:eastAsia="en-US"/>
        </w:rPr>
        <w:t xml:space="preserve">In order to establish the authenticity of paper records </w:t>
      </w:r>
      <w:r w:rsidRPr="00930090">
        <w:rPr>
          <w:rFonts w:ascii="Arial Nova Light" w:hAnsi="Arial Nova Light" w:eastAsia="Verdana" w:cs="Verdana"/>
          <w:color w:val="auto"/>
          <w:sz w:val="22"/>
          <w:szCs w:val="20"/>
          <w:lang w:val="en-US" w:eastAsia="en-US"/>
        </w:rPr>
        <w:t>and to meet the Care Records Guarantee that the service user can see who has accessed their records, the</w:t>
      </w:r>
      <w:r w:rsidRPr="00830E8F">
        <w:rPr>
          <w:rFonts w:ascii="Arial Nova Light" w:hAnsi="Arial Nova Light" w:eastAsia="Verdana" w:cs="Verdana"/>
          <w:color w:val="auto"/>
          <w:sz w:val="22"/>
          <w:szCs w:val="20"/>
          <w:lang w:val="en-US" w:eastAsia="en-US"/>
        </w:rPr>
        <w:t xml:space="preserve"> records must be held </w:t>
      </w:r>
      <w:r w:rsidR="00B14990">
        <w:rPr>
          <w:rFonts w:ascii="Arial Nova Light" w:hAnsi="Arial Nova Light" w:eastAsia="Verdana" w:cs="Verdana"/>
          <w:color w:val="auto"/>
          <w:sz w:val="22"/>
          <w:szCs w:val="20"/>
          <w:lang w:val="en-US" w:eastAsia="en-US"/>
        </w:rPr>
        <w:t>in a way that</w:t>
      </w:r>
      <w:r w:rsidRPr="00830E8F">
        <w:rPr>
          <w:rFonts w:ascii="Arial Nova Light" w:hAnsi="Arial Nova Light" w:eastAsia="Verdana" w:cs="Verdana"/>
          <w:color w:val="auto"/>
          <w:sz w:val="22"/>
          <w:szCs w:val="20"/>
          <w:lang w:val="en-US" w:eastAsia="en-US"/>
        </w:rPr>
        <w:t xml:space="preserve"> allows </w:t>
      </w:r>
      <w:r w:rsidRPr="009E5DA0" w:rsidR="009E5DA0">
        <w:rPr>
          <w:rFonts w:ascii="Arial Nova Light" w:hAnsi="Arial Nova Light"/>
          <w:b/>
          <w:sz w:val="22"/>
          <w:szCs w:val="22"/>
        </w:rPr>
        <w:t>The Practice</w:t>
      </w:r>
      <w:r w:rsidR="00B14990">
        <w:rPr>
          <w:rFonts w:ascii="Arial Nova Light" w:hAnsi="Arial Nova Light" w:eastAsia="Verdana" w:cs="Verdana"/>
          <w:color w:val="auto"/>
          <w:sz w:val="22"/>
          <w:szCs w:val="20"/>
          <w:lang w:val="en-US" w:eastAsia="en-US"/>
        </w:rPr>
        <w:t xml:space="preserve"> to audit who has </w:t>
      </w:r>
      <w:r w:rsidRPr="00830E8F">
        <w:rPr>
          <w:rFonts w:ascii="Arial Nova Light" w:hAnsi="Arial Nova Light" w:eastAsia="Verdana" w:cs="Verdana"/>
          <w:color w:val="auto"/>
          <w:sz w:val="22"/>
          <w:szCs w:val="20"/>
          <w:lang w:val="en-US" w:eastAsia="en-US"/>
        </w:rPr>
        <w:t>access</w:t>
      </w:r>
      <w:r w:rsidR="00B14990">
        <w:rPr>
          <w:rFonts w:ascii="Arial Nova Light" w:hAnsi="Arial Nova Light" w:eastAsia="Verdana" w:cs="Verdana"/>
          <w:color w:val="auto"/>
          <w:sz w:val="22"/>
          <w:szCs w:val="20"/>
          <w:lang w:val="en-US" w:eastAsia="en-US"/>
        </w:rPr>
        <w:t>ed it</w:t>
      </w:r>
      <w:r w:rsidRPr="00830E8F">
        <w:rPr>
          <w:rFonts w:ascii="Arial Nova Light" w:hAnsi="Arial Nova Light" w:eastAsia="Verdana" w:cs="Verdana"/>
          <w:color w:val="auto"/>
          <w:sz w:val="22"/>
          <w:szCs w:val="20"/>
          <w:lang w:val="en-US" w:eastAsia="en-US"/>
        </w:rPr>
        <w:t xml:space="preserve">. </w:t>
      </w:r>
    </w:p>
    <w:p w:rsidR="00B14990" w:rsidP="00930090" w:rsidRDefault="00B14990" w14:paraId="32BCA6FC" w14:textId="0181A63D">
      <w:pPr>
        <w:pStyle w:val="Default"/>
        <w:spacing w:before="120" w:line="360" w:lineRule="auto"/>
        <w:rPr>
          <w:rFonts w:ascii="Arial Nova Light" w:hAnsi="Arial Nova Light" w:eastAsia="Verdana" w:cs="Verdana"/>
          <w:color w:val="auto"/>
          <w:sz w:val="22"/>
          <w:szCs w:val="20"/>
          <w:lang w:val="en-US" w:eastAsia="en-US"/>
        </w:rPr>
      </w:pPr>
      <w:r>
        <w:rPr>
          <w:rFonts w:ascii="Arial Nova Light" w:hAnsi="Arial Nova Light" w:eastAsia="Verdana" w:cs="Verdana"/>
          <w:color w:val="auto"/>
          <w:sz w:val="22"/>
          <w:szCs w:val="20"/>
          <w:lang w:val="en-US" w:eastAsia="en-US"/>
        </w:rPr>
        <w:t>Clinical records must be able to be tracked through the entire lifecycle</w:t>
      </w:r>
      <w:r w:rsidRPr="00830E8F" w:rsidR="00830E8F">
        <w:rPr>
          <w:rFonts w:ascii="Arial Nova Light" w:hAnsi="Arial Nova Light" w:eastAsia="Verdana" w:cs="Verdana"/>
          <w:color w:val="auto"/>
          <w:sz w:val="22"/>
          <w:szCs w:val="20"/>
          <w:lang w:val="en-US" w:eastAsia="en-US"/>
        </w:rPr>
        <w:t xml:space="preserve"> up to destruction, or transfer to </w:t>
      </w:r>
      <w:r>
        <w:rPr>
          <w:rFonts w:ascii="Arial Nova Light" w:hAnsi="Arial Nova Light" w:eastAsia="Verdana" w:cs="Verdana"/>
          <w:color w:val="auto"/>
          <w:sz w:val="22"/>
          <w:szCs w:val="20"/>
          <w:lang w:val="en-US" w:eastAsia="en-US"/>
        </w:rPr>
        <w:t>the National Archives</w:t>
      </w:r>
      <w:r w:rsidRPr="00830E8F" w:rsidR="00830E8F">
        <w:rPr>
          <w:rFonts w:ascii="Arial Nova Light" w:hAnsi="Arial Nova Light" w:eastAsia="Verdana" w:cs="Verdana"/>
          <w:color w:val="auto"/>
          <w:sz w:val="22"/>
          <w:szCs w:val="20"/>
          <w:lang w:val="en-US" w:eastAsia="en-US"/>
        </w:rPr>
        <w:t xml:space="preserve"> or an approved place of deposit. </w:t>
      </w:r>
    </w:p>
    <w:p w:rsidR="00B14990" w:rsidP="00B14990" w:rsidRDefault="00B14990" w14:paraId="0E52A841" w14:textId="2290D85E">
      <w:pPr>
        <w:pStyle w:val="Default"/>
        <w:spacing w:before="120" w:line="360" w:lineRule="auto"/>
        <w:rPr>
          <w:rFonts w:ascii="Arial Nova Light" w:hAnsi="Arial Nova Light" w:eastAsia="Verdana" w:cs="Verdana"/>
          <w:color w:val="auto"/>
          <w:sz w:val="22"/>
          <w:szCs w:val="20"/>
          <w:lang w:val="en-US" w:eastAsia="en-US"/>
        </w:rPr>
      </w:pPr>
      <w:r>
        <w:rPr>
          <w:rFonts w:ascii="Arial Nova Light" w:hAnsi="Arial Nova Light" w:eastAsia="Verdana" w:cs="Verdana"/>
          <w:color w:val="auto"/>
          <w:sz w:val="22"/>
          <w:szCs w:val="20"/>
          <w:lang w:val="en-US" w:eastAsia="en-US"/>
        </w:rPr>
        <w:t>Paper records must be kept in a safe, dry and secure location</w:t>
      </w:r>
    </w:p>
    <w:p w:rsidRPr="00B14990" w:rsidR="00B14990" w:rsidP="00B14990" w:rsidRDefault="00830E8F" w14:paraId="42461809" w14:textId="77777777">
      <w:pPr>
        <w:pStyle w:val="Default"/>
        <w:spacing w:before="120" w:line="360" w:lineRule="auto"/>
        <w:rPr>
          <w:rFonts w:ascii="Arial Nova Light" w:hAnsi="Arial Nova Light" w:eastAsia="Verdana" w:cs="Verdana"/>
          <w:b/>
          <w:color w:val="auto"/>
          <w:sz w:val="22"/>
          <w:szCs w:val="20"/>
          <w:lang w:val="en-US" w:eastAsia="en-US"/>
        </w:rPr>
      </w:pPr>
      <w:r w:rsidRPr="00B14990">
        <w:rPr>
          <w:rFonts w:ascii="Arial Nova Light" w:hAnsi="Arial Nova Light" w:eastAsia="Verdana" w:cs="Verdana"/>
          <w:b/>
          <w:color w:val="auto"/>
          <w:sz w:val="22"/>
          <w:szCs w:val="20"/>
          <w:lang w:val="en-US" w:eastAsia="en-US"/>
        </w:rPr>
        <w:t>Digital</w:t>
      </w:r>
      <w:r w:rsidRPr="00B14990" w:rsidR="00B14990">
        <w:rPr>
          <w:rFonts w:ascii="Arial Nova Light" w:hAnsi="Arial Nova Light" w:eastAsia="Verdana" w:cs="Verdana"/>
          <w:b/>
          <w:color w:val="auto"/>
          <w:sz w:val="22"/>
          <w:szCs w:val="20"/>
          <w:lang w:val="en-US" w:eastAsia="en-US"/>
        </w:rPr>
        <w:t xml:space="preserve"> Records</w:t>
      </w:r>
    </w:p>
    <w:p w:rsidR="00B14990" w:rsidP="00B14990" w:rsidRDefault="00B14990" w14:paraId="4C4BAD58" w14:textId="77777777">
      <w:pPr>
        <w:pStyle w:val="Default"/>
        <w:spacing w:before="120" w:line="360" w:lineRule="auto"/>
      </w:pPr>
      <w:r>
        <w:rPr>
          <w:rFonts w:ascii="Arial Nova Light" w:hAnsi="Arial Nova Light" w:eastAsia="Verdana" w:cs="Verdana"/>
          <w:color w:val="auto"/>
          <w:sz w:val="22"/>
          <w:szCs w:val="20"/>
          <w:lang w:val="en-US" w:eastAsia="en-US"/>
        </w:rPr>
        <w:t>D</w:t>
      </w:r>
      <w:r w:rsidRPr="00830E8F" w:rsidR="00830E8F">
        <w:rPr>
          <w:rFonts w:ascii="Arial Nova Light" w:hAnsi="Arial Nova Light" w:eastAsia="Verdana" w:cs="Verdana"/>
          <w:color w:val="auto"/>
          <w:sz w:val="22"/>
          <w:szCs w:val="20"/>
          <w:lang w:val="en-US" w:eastAsia="en-US"/>
        </w:rPr>
        <w:t>igital information must be stored in such a way that throughout the lifecycle it can be recovered in an accessible format</w:t>
      </w:r>
      <w:r w:rsidR="00830E8F">
        <w:t xml:space="preserve"> </w:t>
      </w:r>
    </w:p>
    <w:p w:rsidRPr="00B14990" w:rsidR="00B14990" w:rsidP="00B14990" w:rsidRDefault="00B14990" w14:paraId="30E927F2" w14:textId="5075E87B">
      <w:pPr>
        <w:pStyle w:val="Default"/>
        <w:spacing w:before="120" w:line="360" w:lineRule="auto"/>
        <w:rPr>
          <w:rFonts w:ascii="Arial Nova Light" w:hAnsi="Arial Nova Light" w:eastAsia="Verdana" w:cs="Verdana"/>
          <w:color w:val="auto"/>
          <w:sz w:val="22"/>
          <w:szCs w:val="20"/>
          <w:lang w:val="en-US" w:eastAsia="en-US"/>
        </w:rPr>
      </w:pPr>
      <w:r w:rsidRPr="00B14990">
        <w:rPr>
          <w:rFonts w:ascii="Arial Nova Light" w:hAnsi="Arial Nova Light" w:eastAsia="Verdana" w:cs="Verdana"/>
          <w:color w:val="auto"/>
          <w:sz w:val="22"/>
          <w:szCs w:val="20"/>
          <w:lang w:val="en-US" w:eastAsia="en-US"/>
        </w:rPr>
        <w:t xml:space="preserve">Systems for </w:t>
      </w:r>
      <w:r w:rsidRPr="00930090">
        <w:rPr>
          <w:rFonts w:ascii="Arial Nova Light" w:hAnsi="Arial Nova Light" w:eastAsia="Verdana" w:cs="Verdana"/>
          <w:color w:val="auto"/>
          <w:sz w:val="22"/>
          <w:szCs w:val="20"/>
          <w:lang w:val="en-US" w:eastAsia="en-US"/>
        </w:rPr>
        <w:t xml:space="preserve">storing digital records must provide </w:t>
      </w:r>
      <w:r w:rsidRPr="00930090" w:rsidR="00830E8F">
        <w:rPr>
          <w:rFonts w:ascii="Arial Nova Light" w:hAnsi="Arial Nova Light" w:eastAsia="Verdana" w:cs="Verdana"/>
          <w:color w:val="auto"/>
          <w:sz w:val="22"/>
          <w:szCs w:val="20"/>
          <w:lang w:val="en-US" w:eastAsia="en-US"/>
        </w:rPr>
        <w:t>information about those who have accessed the record, as required by the Care Records Guarantee.</w:t>
      </w:r>
      <w:r w:rsidRPr="00B14990" w:rsidR="00830E8F">
        <w:rPr>
          <w:rFonts w:ascii="Arial Nova Light" w:hAnsi="Arial Nova Light" w:eastAsia="Verdana" w:cs="Verdana"/>
          <w:color w:val="auto"/>
          <w:sz w:val="22"/>
          <w:szCs w:val="20"/>
          <w:lang w:val="en-US" w:eastAsia="en-US"/>
        </w:rPr>
        <w:t xml:space="preserve"> </w:t>
      </w:r>
    </w:p>
    <w:p w:rsidRPr="005003CC" w:rsidR="00B14990" w:rsidP="00B14990" w:rsidRDefault="00B14990" w14:paraId="43D59AED" w14:textId="779CB11D">
      <w:pPr>
        <w:pStyle w:val="Default"/>
        <w:spacing w:before="120" w:line="360" w:lineRule="auto"/>
        <w:rPr>
          <w:rFonts w:ascii="Arial Nova Light" w:hAnsi="Arial Nova Light" w:eastAsia="Verdana" w:cs="Verdana"/>
          <w:color w:val="auto"/>
          <w:sz w:val="22"/>
          <w:szCs w:val="20"/>
          <w:lang w:val="en-US" w:eastAsia="en-US"/>
        </w:rPr>
      </w:pPr>
      <w:r w:rsidRPr="005003CC">
        <w:rPr>
          <w:rFonts w:ascii="Arial Nova Light" w:hAnsi="Arial Nova Light" w:eastAsia="Verdana" w:cs="Verdana"/>
          <w:color w:val="auto"/>
          <w:sz w:val="22"/>
          <w:szCs w:val="20"/>
          <w:lang w:val="en-US" w:eastAsia="en-US"/>
        </w:rPr>
        <w:t xml:space="preserve">When using digital records within a system such as a </w:t>
      </w:r>
      <w:r w:rsidRPr="00930090">
        <w:rPr>
          <w:rFonts w:ascii="Arial Nova Light" w:hAnsi="Arial Nova Light" w:eastAsia="Verdana" w:cs="Verdana"/>
          <w:color w:val="auto"/>
          <w:sz w:val="22"/>
          <w:szCs w:val="20"/>
          <w:lang w:val="en-US" w:eastAsia="en-US"/>
        </w:rPr>
        <w:t>database or clinica</w:t>
      </w:r>
      <w:r w:rsidRPr="00930090" w:rsidR="005003CC">
        <w:rPr>
          <w:rFonts w:ascii="Arial Nova Light" w:hAnsi="Arial Nova Light" w:eastAsia="Verdana" w:cs="Verdana"/>
          <w:color w:val="auto"/>
          <w:sz w:val="22"/>
          <w:szCs w:val="20"/>
          <w:lang w:val="en-US" w:eastAsia="en-US"/>
        </w:rPr>
        <w:t>l</w:t>
      </w:r>
      <w:r w:rsidRPr="00930090">
        <w:rPr>
          <w:rFonts w:ascii="Arial Nova Light" w:hAnsi="Arial Nova Light" w:eastAsia="Verdana" w:cs="Verdana"/>
          <w:color w:val="auto"/>
          <w:sz w:val="22"/>
          <w:szCs w:val="20"/>
          <w:lang w:val="en-US" w:eastAsia="en-US"/>
        </w:rPr>
        <w:t xml:space="preserve"> system</w:t>
      </w:r>
      <w:r w:rsidRPr="005003CC">
        <w:rPr>
          <w:rFonts w:ascii="Arial Nova Light" w:hAnsi="Arial Nova Light" w:eastAsia="Verdana" w:cs="Verdana"/>
          <w:color w:val="auto"/>
          <w:sz w:val="22"/>
          <w:szCs w:val="20"/>
          <w:lang w:val="en-US" w:eastAsia="en-US"/>
        </w:rPr>
        <w:t>, you must provide any requested information such as reason for access</w:t>
      </w:r>
    </w:p>
    <w:p w:rsidRPr="005003CC" w:rsidR="00B14990" w:rsidP="00B14990" w:rsidRDefault="00B14990" w14:paraId="72850DFD" w14:textId="77777777">
      <w:pPr>
        <w:pStyle w:val="Default"/>
        <w:spacing w:before="120" w:line="360" w:lineRule="auto"/>
        <w:rPr>
          <w:rFonts w:ascii="Arial Nova Light" w:hAnsi="Arial Nova Light" w:eastAsia="Verdana" w:cs="Verdana"/>
          <w:color w:val="auto"/>
          <w:sz w:val="22"/>
          <w:szCs w:val="20"/>
          <w:lang w:val="en-US" w:eastAsia="en-US"/>
        </w:rPr>
      </w:pPr>
      <w:r w:rsidRPr="005003CC">
        <w:rPr>
          <w:rFonts w:ascii="Arial Nova Light" w:hAnsi="Arial Nova Light" w:eastAsia="Verdana" w:cs="Verdana"/>
          <w:color w:val="auto"/>
          <w:sz w:val="22"/>
          <w:szCs w:val="20"/>
          <w:lang w:val="en-US" w:eastAsia="en-US"/>
        </w:rPr>
        <w:t>When using a digital record being within the shared network such as a Word or Excel document, care must be given to providing ‘metadata’</w:t>
      </w:r>
    </w:p>
    <w:p w:rsidRPr="005003CC" w:rsidR="00B14990" w:rsidP="00B14990" w:rsidRDefault="00B14990" w14:paraId="28EF1AFE" w14:textId="77777777">
      <w:pPr>
        <w:pStyle w:val="Default"/>
        <w:spacing w:before="120" w:line="360" w:lineRule="auto"/>
        <w:rPr>
          <w:rFonts w:ascii="Arial Nova Light" w:hAnsi="Arial Nova Light" w:eastAsia="Verdana" w:cs="Verdana"/>
          <w:color w:val="auto"/>
          <w:sz w:val="22"/>
          <w:szCs w:val="20"/>
          <w:lang w:val="en-US" w:eastAsia="en-US"/>
        </w:rPr>
      </w:pPr>
      <w:r w:rsidRPr="005003CC">
        <w:rPr>
          <w:rFonts w:ascii="Arial Nova Light" w:hAnsi="Arial Nova Light" w:eastAsia="Verdana" w:cs="Verdana"/>
          <w:color w:val="auto"/>
          <w:sz w:val="22"/>
          <w:szCs w:val="20"/>
          <w:lang w:val="en-US" w:eastAsia="en-US"/>
        </w:rPr>
        <w:t>This will include identifying the author, version, changes made, owner of the document</w:t>
      </w:r>
    </w:p>
    <w:p w:rsidRPr="005003CC" w:rsidR="00B14990" w:rsidP="00B14990" w:rsidRDefault="00B14990" w14:paraId="17BD1072" w14:textId="1C26634C">
      <w:pPr>
        <w:pStyle w:val="Default"/>
        <w:spacing w:before="120" w:line="360" w:lineRule="auto"/>
        <w:rPr>
          <w:rFonts w:ascii="Arial Nova Light" w:hAnsi="Arial Nova Light" w:eastAsia="Verdana" w:cs="Verdana"/>
          <w:color w:val="auto"/>
          <w:sz w:val="22"/>
          <w:szCs w:val="20"/>
          <w:lang w:val="en-US" w:eastAsia="en-US"/>
        </w:rPr>
      </w:pPr>
      <w:r w:rsidRPr="005003CC">
        <w:rPr>
          <w:rFonts w:ascii="Arial Nova Light" w:hAnsi="Arial Nova Light" w:eastAsia="Verdana" w:cs="Verdana"/>
          <w:color w:val="auto"/>
          <w:sz w:val="22"/>
          <w:szCs w:val="20"/>
          <w:lang w:val="en-US" w:eastAsia="en-US"/>
        </w:rPr>
        <w:lastRenderedPageBreak/>
        <w:t>All information relating to a specific record must be stored together. For example, email messages related to a specific recruitment campaign must be stored in the network Recruitment folder alongside the Application Form and Interview Sheet.</w:t>
      </w:r>
    </w:p>
    <w:p w:rsidRPr="005003CC" w:rsidR="00B14990" w:rsidP="00B14990" w:rsidRDefault="00B14990" w14:paraId="714F8A97" w14:textId="77777777">
      <w:pPr>
        <w:pStyle w:val="Default"/>
        <w:spacing w:before="120" w:line="360" w:lineRule="auto"/>
        <w:rPr>
          <w:rFonts w:ascii="Arial Nova Light" w:hAnsi="Arial Nova Light" w:eastAsia="Verdana" w:cs="Verdana"/>
          <w:color w:val="auto"/>
          <w:sz w:val="22"/>
          <w:szCs w:val="20"/>
          <w:lang w:val="en-US" w:eastAsia="en-US"/>
        </w:rPr>
      </w:pPr>
      <w:r w:rsidRPr="005003CC">
        <w:rPr>
          <w:rFonts w:ascii="Arial Nova Light" w:hAnsi="Arial Nova Light" w:eastAsia="Verdana" w:cs="Verdana"/>
          <w:color w:val="auto"/>
          <w:sz w:val="22"/>
          <w:szCs w:val="20"/>
          <w:lang w:val="en-US" w:eastAsia="en-US"/>
        </w:rPr>
        <w:t>Hyperlinks or embedded documents must still work when the document is transferred to different media or later versions</w:t>
      </w:r>
    </w:p>
    <w:p w:rsidR="008C3BA8" w:rsidP="00ED5CD6" w:rsidRDefault="008C3BA8" w14:paraId="41EFC38E" w14:textId="77777777">
      <w:pPr>
        <w:pStyle w:val="BodyText"/>
        <w:jc w:val="both"/>
      </w:pPr>
    </w:p>
    <w:p w:rsidR="005003CC" w:rsidP="00CB323E" w:rsidRDefault="005003CC" w14:paraId="4814F69B" w14:textId="5F4C39BD">
      <w:pPr>
        <w:pStyle w:val="Heading1"/>
      </w:pPr>
      <w:bookmarkStart w:name="_Toc6745197" w:id="13"/>
      <w:bookmarkStart w:name="_Toc503693199" w:id="14"/>
      <w:r>
        <w:t>Retention</w:t>
      </w:r>
      <w:bookmarkEnd w:id="13"/>
    </w:p>
    <w:p w:rsidR="005003CC" w:rsidP="005003CC" w:rsidRDefault="005003CC" w14:paraId="0A500398" w14:textId="58DF95A3">
      <w:r>
        <w:t>Once a record is no longer being used for its primary purpose, it should be appraised to consider whether and if so, how long, it should be retained by the organisation.</w:t>
      </w:r>
    </w:p>
    <w:p w:rsidR="005003CC" w:rsidP="005003CC" w:rsidRDefault="005003CC" w14:paraId="147C71DF" w14:textId="1DDF0F78">
      <w:r>
        <w:t>Retaining records for longer than the intended purpose in identifiable form and without an alternative lawful basis is a breach of Data Protection legislation</w:t>
      </w:r>
    </w:p>
    <w:p w:rsidR="005003CC" w:rsidP="005003CC" w:rsidRDefault="009E5DA0" w14:paraId="6739BC87" w14:textId="3B1EBFC1">
      <w:r w:rsidRPr="009E5DA0">
        <w:rPr>
          <w:b/>
        </w:rPr>
        <w:t>The Practice</w:t>
      </w:r>
      <w:r w:rsidR="005003CC">
        <w:t xml:space="preserve"> uses the Department of Health Records Management Code of Practice to assign retention periods</w:t>
      </w:r>
    </w:p>
    <w:p w:rsidR="005003CC" w:rsidP="005003CC" w:rsidRDefault="005003CC" w14:paraId="1A767F03" w14:textId="11612C0A">
      <w:r>
        <w:t>Staff should have access to a list of key records and their retention periods for that particular department. If you do not have this, please contact the Information Governance Lead or Data Protection Officer</w:t>
      </w:r>
    </w:p>
    <w:p w:rsidR="005003CC" w:rsidP="005003CC" w:rsidRDefault="005003CC" w14:paraId="57E32D02" w14:textId="27D7DCD9">
      <w:r>
        <w:t>Where the record is being retained, there should be a documented consideration of whether the information could be de-identified (direct or indirect identifiers removed) to reduce the risk of an information breach</w:t>
      </w:r>
    </w:p>
    <w:p w:rsidR="005003CC" w:rsidP="005003CC" w:rsidRDefault="005003CC" w14:paraId="61A50E17" w14:textId="3322159D">
      <w:pPr>
        <w:pStyle w:val="Heading1"/>
      </w:pPr>
      <w:bookmarkStart w:name="_Toc6745198" w:id="15"/>
      <w:r>
        <w:t>Destruction</w:t>
      </w:r>
      <w:bookmarkEnd w:id="15"/>
    </w:p>
    <w:p w:rsidR="005003CC" w:rsidP="005003CC" w:rsidRDefault="005003CC" w14:paraId="251470BA" w14:textId="77777777">
      <w:r>
        <w:t>Paper Records</w:t>
      </w:r>
    </w:p>
    <w:p w:rsidR="005003CC" w:rsidP="005003CC" w:rsidRDefault="005003CC" w14:paraId="58CEA9CB" w14:textId="77777777">
      <w:r>
        <w:t xml:space="preserve">Paper records can be incinerated, pulped or shredded (using a cross cut shredder) under confidential conditions. </w:t>
      </w:r>
    </w:p>
    <w:p w:rsidR="005003CC" w:rsidP="005003CC" w:rsidRDefault="005003CC" w14:paraId="1A008621" w14:textId="77777777">
      <w:r>
        <w:t xml:space="preserve">Do not use the domestic waste or put them on a rubbish tip, because they remain accessible to anyone who finds them. </w:t>
      </w:r>
    </w:p>
    <w:p w:rsidR="005003CC" w:rsidP="005003CC" w:rsidRDefault="005003CC" w14:paraId="5509FAC5" w14:textId="77777777">
      <w:r>
        <w:t xml:space="preserve">Staff must keep accurate records of destruction and appraisal decisions. Destruction implies a permanent action. </w:t>
      </w:r>
    </w:p>
    <w:p w:rsidRPr="007566D3" w:rsidR="005003CC" w:rsidP="005003CC" w:rsidRDefault="005003CC" w14:paraId="48355155" w14:textId="77777777">
      <w:pPr>
        <w:rPr>
          <w:b/>
        </w:rPr>
      </w:pPr>
      <w:r w:rsidRPr="007566D3">
        <w:rPr>
          <w:b/>
        </w:rPr>
        <w:t>Electronic Records</w:t>
      </w:r>
    </w:p>
    <w:p w:rsidR="005003CC" w:rsidP="005003CC" w:rsidRDefault="005003CC" w14:paraId="455BB49E" w14:textId="77777777">
      <w:r>
        <w:lastRenderedPageBreak/>
        <w:t xml:space="preserve">Destruction of hard assets, like computers and hard drives and backup tapes, must be auditable in respect of the information they hold. </w:t>
      </w:r>
    </w:p>
    <w:p w:rsidR="007566D3" w:rsidP="005003CC" w:rsidRDefault="005003CC" w14:paraId="73BBF44F" w14:textId="77777777">
      <w:r>
        <w:t xml:space="preserve">An electronic records management system will retain a metadata stub which will show what has been destroyed. </w:t>
      </w:r>
    </w:p>
    <w:p w:rsidR="00941A58" w:rsidP="005003CC" w:rsidRDefault="005003CC" w14:paraId="4CC300D3" w14:textId="44A1A0C7">
      <w:r>
        <w:t xml:space="preserve">The </w:t>
      </w:r>
      <w:r w:rsidR="00941A58">
        <w:t xml:space="preserve">Information Commissioners Office </w:t>
      </w:r>
      <w:r>
        <w:t xml:space="preserve">has indicated that if information is deleted from a live environment and cannot be readily accessed then this will suffice to remove information for the purposes of the </w:t>
      </w:r>
      <w:r w:rsidR="00941A58">
        <w:t>Data Protection Legislation</w:t>
      </w:r>
      <w:r>
        <w:t>.</w:t>
      </w:r>
    </w:p>
    <w:p w:rsidR="00941A58" w:rsidP="00CB323E" w:rsidRDefault="00941A58" w14:paraId="2033D6D4" w14:textId="6BCF0EF8">
      <w:pPr>
        <w:pStyle w:val="Heading1"/>
      </w:pPr>
      <w:bookmarkStart w:name="_Toc6745199" w:id="16"/>
      <w:r>
        <w:t>General Practitioner Records</w:t>
      </w:r>
      <w:bookmarkEnd w:id="16"/>
    </w:p>
    <w:p w:rsidR="00941A58" w:rsidP="00930090" w:rsidRDefault="00941A58" w14:paraId="5A286622" w14:textId="6787672E">
      <w:r>
        <w:t>It is important to note that the General Practitioner (GP) record</w:t>
      </w:r>
      <w:r w:rsidR="00930090">
        <w:t xml:space="preserve"> </w:t>
      </w:r>
      <w:r>
        <w:t xml:space="preserve">is the primary record of care </w:t>
      </w:r>
    </w:p>
    <w:p w:rsidR="00941A58" w:rsidP="00930090" w:rsidRDefault="00941A58" w14:paraId="097124D3" w14:textId="77777777">
      <w:r>
        <w:t xml:space="preserve">The majority of other services must inform the GP through a discharge note or a clinical correspondence that the patient has received care. </w:t>
      </w:r>
    </w:p>
    <w:p w:rsidR="00941A58" w:rsidP="00930090" w:rsidRDefault="00941A58" w14:paraId="5BA6F2D3" w14:textId="77777777">
      <w:r>
        <w:t xml:space="preserve">This record is to be retained for the life of the patient plus at least ten years after death. </w:t>
      </w:r>
    </w:p>
    <w:p w:rsidR="00941A58" w:rsidP="00930090" w:rsidRDefault="00941A58" w14:paraId="7ABCBD22" w14:textId="77777777">
      <w:r>
        <w:t xml:space="preserve">The GP record must transfer with the individual as they change GP throughout their lifetime. </w:t>
      </w:r>
    </w:p>
    <w:p w:rsidR="00941A58" w:rsidP="00930090" w:rsidRDefault="00941A58" w14:paraId="065B652C" w14:textId="77777777">
      <w:r>
        <w:t>Following the move to digital GP records after the ‘paperlite’ accreditation process there was an instruction not to destroy the paper Lloyd George folders.</w:t>
      </w:r>
    </w:p>
    <w:p w:rsidR="00941A58" w:rsidP="00930090" w:rsidRDefault="00941A58" w14:paraId="21C5682E" w14:textId="016EC4D0">
      <w:r>
        <w:t>The GP2GP programme still requires the Lloyd George paper records to be transferred until further notice</w:t>
      </w:r>
    </w:p>
    <w:p w:rsidRPr="00941A58" w:rsidR="00941A58" w:rsidP="00930090" w:rsidRDefault="00941A58" w14:paraId="017E3A4E" w14:textId="11810ED8">
      <w:r>
        <w:t>GPs are obliged by their contract to follow the HSCIC, DH and NHS England good practice guidance.</w:t>
      </w:r>
    </w:p>
    <w:p w:rsidR="00941A58" w:rsidP="00CB323E" w:rsidRDefault="00941A58" w14:paraId="2649C35A" w14:textId="4DB51B25">
      <w:pPr>
        <w:pStyle w:val="Heading1"/>
      </w:pPr>
      <w:bookmarkStart w:name="_Toc6745200" w:id="17"/>
      <w:r>
        <w:t>Change of Contract / Service Provider</w:t>
      </w:r>
      <w:bookmarkEnd w:id="17"/>
    </w:p>
    <w:p w:rsidR="00941A58" w:rsidP="00941A58" w:rsidRDefault="00941A58" w14:paraId="241CC98C" w14:textId="77777777">
      <w:r>
        <w:t xml:space="preserve">When a service provider is changed, the exiting service provider still has a liability for the work they have done and so the records must be retained until the time period for liability has expired. </w:t>
      </w:r>
    </w:p>
    <w:p w:rsidR="00907383" w:rsidP="00941A58" w:rsidRDefault="00907383" w14:paraId="068185CE" w14:textId="77777777">
      <w:r>
        <w:t>T</w:t>
      </w:r>
      <w:r w:rsidR="00941A58">
        <w:t xml:space="preserve">he commissioner </w:t>
      </w:r>
      <w:r>
        <w:t>may</w:t>
      </w:r>
      <w:r w:rsidR="00941A58">
        <w:t xml:space="preserve"> direct a transfer of care records to a new provider for continuity of upon termination of the contract.</w:t>
      </w:r>
    </w:p>
    <w:p w:rsidR="00907383" w:rsidP="00941A58" w:rsidRDefault="00941A58" w14:paraId="4421A97A" w14:textId="03AF60EC">
      <w:r>
        <w:t xml:space="preserve">Where legislation creates or disbands public sector </w:t>
      </w:r>
      <w:r w:rsidR="00907383">
        <w:t>organisations,</w:t>
      </w:r>
      <w:r>
        <w:t xml:space="preserve"> the legislation will normally specify which organisation holds liability for any action conducted by a former organisation. </w:t>
      </w:r>
    </w:p>
    <w:p w:rsidR="00907383" w:rsidP="00941A58" w:rsidRDefault="00907383" w14:paraId="47599273" w14:textId="77777777">
      <w:r>
        <w:t>Where the contract change relates to delivery of health and social care</w:t>
      </w:r>
      <w:r w:rsidR="00941A58">
        <w:t xml:space="preserve">, it may be necessary to inform the individuals concerned about the change. </w:t>
      </w:r>
    </w:p>
    <w:p w:rsidR="00907383" w:rsidP="00941A58" w:rsidRDefault="00941A58" w14:paraId="02CEC53C" w14:textId="508E304B">
      <w:r>
        <w:lastRenderedPageBreak/>
        <w:t>Where there is little impact upon those receiving care</w:t>
      </w:r>
      <w:r w:rsidR="00930090">
        <w:t>,</w:t>
      </w:r>
      <w:r>
        <w:t xml:space="preserve"> it may be sufficient to use posters and leaflets to inform people about the change, but more significant changes may require individual communications or obtaining explicit consent. </w:t>
      </w:r>
    </w:p>
    <w:p w:rsidR="00907383" w:rsidP="00941A58" w:rsidRDefault="00941A58" w14:paraId="213C7501" w14:textId="77777777">
      <w:r>
        <w:t xml:space="preserve">Although the conditions of </w:t>
      </w:r>
      <w:r w:rsidR="00907383">
        <w:t xml:space="preserve">Data Protection legislation </w:t>
      </w:r>
      <w:r>
        <w:t xml:space="preserve">may be satisfied in many cases there is still a duty of confidence which requires a patient or client (in some cases) to agree to the transfer. </w:t>
      </w:r>
    </w:p>
    <w:p w:rsidRPr="00941A58" w:rsidR="00941A58" w:rsidP="00941A58" w:rsidRDefault="00907383" w14:paraId="37DF28E5" w14:textId="070C770E">
      <w:r>
        <w:t xml:space="preserve">If </w:t>
      </w:r>
      <w:r w:rsidRPr="009E5DA0" w:rsidR="009E5DA0">
        <w:rPr>
          <w:b/>
        </w:rPr>
        <w:t>The Practice</w:t>
      </w:r>
      <w:r>
        <w:t xml:space="preserve"> is adopting a new service, a full inventory of transferring records should be obtained. Likewise, when surrendering a service to a new provider, </w:t>
      </w:r>
      <w:r w:rsidRPr="009E5DA0" w:rsidR="009E5DA0">
        <w:rPr>
          <w:b/>
        </w:rPr>
        <w:t>The Practice</w:t>
      </w:r>
      <w:r>
        <w:t xml:space="preserve"> should provide an inventory.</w:t>
      </w:r>
    </w:p>
    <w:p w:rsidR="009030B6" w:rsidP="00CB323E" w:rsidRDefault="009030B6" w14:paraId="7944BA17" w14:textId="26DE7378">
      <w:pPr>
        <w:pStyle w:val="Heading1"/>
      </w:pPr>
      <w:bookmarkStart w:name="_Toc6745201" w:id="18"/>
      <w:r>
        <w:t>National Data Standards</w:t>
      </w:r>
      <w:bookmarkEnd w:id="18"/>
    </w:p>
    <w:p w:rsidR="009030B6" w:rsidP="009030B6" w:rsidRDefault="009030B6" w14:paraId="7706FA0D" w14:textId="55B78E8B">
      <w:r>
        <w:t xml:space="preserve">The use of national data standards should be incorporated were it supports the appropriate sharing, exchange and monitoring of information. </w:t>
      </w:r>
    </w:p>
    <w:p w:rsidR="009030B6" w:rsidP="009030B6" w:rsidRDefault="009030B6" w14:paraId="6308E7D4" w14:textId="77777777">
      <w:r>
        <w:t xml:space="preserve">Systems and processes should be evaluated to consider what national data standards are relevant and how they will be incorporated. </w:t>
      </w:r>
    </w:p>
    <w:p w:rsidR="009030B6" w:rsidP="009030B6" w:rsidRDefault="009030B6" w14:paraId="47B71F4E" w14:textId="07C9C7F6">
      <w:r>
        <w:t xml:space="preserve">Any risks from not using these standards will be considered, recorded and appropriately managed. </w:t>
      </w:r>
    </w:p>
    <w:p w:rsidRPr="002E1BCC" w:rsidR="009030B6" w:rsidP="002E1BCC" w:rsidRDefault="009030B6" w14:paraId="5738D98A" w14:textId="031977BB">
      <w:pPr>
        <w:pStyle w:val="Heading1"/>
      </w:pPr>
      <w:bookmarkStart w:name="_Toc469397630" w:id="19"/>
      <w:bookmarkStart w:name="_Toc436991301" w:id="20"/>
      <w:bookmarkStart w:name="_Toc6745202" w:id="21"/>
      <w:r>
        <w:t>NHS Number</w:t>
      </w:r>
      <w:bookmarkEnd w:id="19"/>
      <w:bookmarkEnd w:id="20"/>
      <w:bookmarkEnd w:id="21"/>
      <w:r>
        <w:t xml:space="preserve"> </w:t>
      </w:r>
    </w:p>
    <w:p w:rsidR="009030B6" w:rsidP="00930090" w:rsidRDefault="009030B6" w14:paraId="568A4D14" w14:textId="77777777">
      <w:r>
        <w:t xml:space="preserve">The NHS Number is the unique identifier within the Health Service. </w:t>
      </w:r>
    </w:p>
    <w:p w:rsidR="009030B6" w:rsidP="00930090" w:rsidRDefault="009030B6" w14:paraId="4E80190D" w14:textId="77777777">
      <w:r>
        <w:t xml:space="preserve">Where available, it must be incorporated into all correspondence with patients and relevant information systems to ensure that the correct individual is identified. </w:t>
      </w:r>
    </w:p>
    <w:p w:rsidRPr="009030B6" w:rsidR="009030B6" w:rsidP="00930090" w:rsidRDefault="009030B6" w14:paraId="3F00886D" w14:textId="5EE95BD5">
      <w:r>
        <w:t>This has been a policy requirement for a number of years, but Health and Social Care (Safety and Quality) Act 2015 provide a further mandate with statutory force; where the requirement can be met, it is a legal requirement to do so.</w:t>
      </w:r>
    </w:p>
    <w:p w:rsidR="00F804BB" w:rsidP="00CB323E" w:rsidRDefault="00F804BB" w14:paraId="096070A2" w14:textId="2F235370">
      <w:pPr>
        <w:pStyle w:val="Heading1"/>
      </w:pPr>
      <w:bookmarkStart w:name="_Toc6745203" w:id="22"/>
      <w:r>
        <w:t>Accuracy and Quality</w:t>
      </w:r>
      <w:bookmarkEnd w:id="22"/>
    </w:p>
    <w:p w:rsidR="00930090" w:rsidP="00F804BB" w:rsidRDefault="00F804BB" w14:paraId="10147FBE" w14:textId="77777777">
      <w:r>
        <w:t xml:space="preserve">It is understood that errors and inaccuracies will occur in Information. </w:t>
      </w:r>
    </w:p>
    <w:p w:rsidRPr="00F804BB" w:rsidR="00F804BB" w:rsidP="00F804BB" w:rsidRDefault="00F804BB" w14:paraId="33E714B9" w14:textId="79DF8C41">
      <w:r>
        <w:t xml:space="preserve">Systems, process and analysis during the lifecycle of the information need to identify the causes of any errors, the relevant margin of error introduced into any subsequent use of the Information and the appropriate action taken. </w:t>
      </w:r>
    </w:p>
    <w:p w:rsidR="00930090" w:rsidP="00F804BB" w:rsidRDefault="00F804BB" w14:paraId="1BCA8CE5" w14:textId="77777777">
      <w:r>
        <w:lastRenderedPageBreak/>
        <w:t xml:space="preserve">This includes understanding the context of any Information or Data Set, to ensure that “outliers”, results that fall outside expected ranges, are investigated to determine if there are any resulting Information Quality concerns. </w:t>
      </w:r>
    </w:p>
    <w:p w:rsidR="00F804BB" w:rsidP="00F804BB" w:rsidRDefault="00F804BB" w14:paraId="4312DF83" w14:textId="7D7565AD">
      <w:r>
        <w:t xml:space="preserve">It is important to determine and maintain a view of expected ranges of information to support the principles of Information Quality. </w:t>
      </w:r>
    </w:p>
    <w:p w:rsidR="00F804BB" w:rsidP="00F804BB" w:rsidRDefault="00F804BB" w14:paraId="24C899F3" w14:textId="0E7B7C64">
      <w:r>
        <w:t>A Data Protection Impact Assessment should be completed for new processing activities to determine how data quality will be maintained</w:t>
      </w:r>
    </w:p>
    <w:p w:rsidR="00F804BB" w:rsidP="00F804BB" w:rsidRDefault="00F804BB" w14:paraId="325FD1AF" w14:textId="65CCD3A5">
      <w:r>
        <w:t xml:space="preserve">Information Asset Owners should determine and document the specific data quality measures in place for the </w:t>
      </w:r>
      <w:r w:rsidR="00014FB3">
        <w:t>Information</w:t>
      </w:r>
      <w:r>
        <w:t xml:space="preserve"> Asset</w:t>
      </w:r>
    </w:p>
    <w:p w:rsidR="00F804BB" w:rsidP="00F804BB" w:rsidRDefault="00F804BB" w14:paraId="2F458731" w14:textId="331D7FB0">
      <w:r>
        <w:t xml:space="preserve">Information coming in to the </w:t>
      </w:r>
      <w:r w:rsidR="00930090">
        <w:t>practice</w:t>
      </w:r>
      <w:r>
        <w:t xml:space="preserve"> must be checked for accuracy and completeness</w:t>
      </w:r>
    </w:p>
    <w:p w:rsidR="00F804BB" w:rsidP="00F804BB" w:rsidRDefault="00F804BB" w14:paraId="0AEFEA3B" w14:textId="77777777">
      <w:r>
        <w:t>Where incomplete, they should be returned to the sending organisation and the issues flagged with the appropriate lead</w:t>
      </w:r>
    </w:p>
    <w:p w:rsidR="00F804BB" w:rsidP="00F804BB" w:rsidRDefault="00F804BB" w14:paraId="4014C96F" w14:textId="77777777">
      <w:r>
        <w:t>Manual quality checks should be completed on correspondence containing Personal Confidential Information</w:t>
      </w:r>
    </w:p>
    <w:p w:rsidR="00F804BB" w:rsidP="00F804BB" w:rsidRDefault="00F804BB" w14:paraId="4CACABB8" w14:textId="0DB84255">
      <w:r>
        <w:t>Systems should have the capacity to run data quality reports to identify duplications or incomplete records</w:t>
      </w:r>
    </w:p>
    <w:p w:rsidR="00F804BB" w:rsidP="00F804BB" w:rsidRDefault="00F804BB" w14:paraId="6292CAF9" w14:textId="66C935A7">
      <w:r>
        <w:t>Procurement of systems should include built in measures to maintain data quality such as reduction of free text boxes and the use of drop down lists</w:t>
      </w:r>
    </w:p>
    <w:p w:rsidR="00F804BB" w:rsidP="00F804BB" w:rsidRDefault="00F804BB" w14:paraId="501C3A15" w14:textId="3CB7DA84">
      <w:r>
        <w:t>Integration with other systems should consider data validation and the potential for errors requiring manual intervention</w:t>
      </w:r>
    </w:p>
    <w:p w:rsidR="00F804BB" w:rsidP="00F804BB" w:rsidRDefault="00877049" w14:paraId="377E0537" w14:textId="3303B390">
      <w:r>
        <w:t>Data Quality audits must be completed regularly and the results reporting into the Information Governance Lead or Data Protection Officer</w:t>
      </w:r>
    </w:p>
    <w:p w:rsidR="00877049" w:rsidP="00877049" w:rsidRDefault="00F804BB" w14:paraId="3AF49C8B" w14:textId="77777777">
      <w:r>
        <w:t xml:space="preserve">Where errors are identified, appropriate mitigation is required. This includes correction, where relevant, analysis of process and appropriate action, and ongoing monitoring. </w:t>
      </w:r>
    </w:p>
    <w:p w:rsidRPr="00F804BB" w:rsidR="00F804BB" w:rsidP="00F804BB" w:rsidRDefault="00F804BB" w14:paraId="540E57D2" w14:textId="55264B33">
      <w:r>
        <w:t>Understanding the cause of error and its likely consequence are a key component of improving Information Quality or managing issues that cannot be addressed through appropriate controls.</w:t>
      </w:r>
    </w:p>
    <w:p w:rsidRPr="00CB323E" w:rsidR="00213805" w:rsidP="00CB323E" w:rsidRDefault="00213805" w14:paraId="2E942C77" w14:textId="2F487294">
      <w:pPr>
        <w:pStyle w:val="Heading1"/>
      </w:pPr>
      <w:bookmarkStart w:name="_Toc6745204" w:id="23"/>
      <w:r w:rsidRPr="00CB323E">
        <w:lastRenderedPageBreak/>
        <w:t>Information Incidents</w:t>
      </w:r>
      <w:bookmarkEnd w:id="14"/>
      <w:bookmarkEnd w:id="23"/>
    </w:p>
    <w:p w:rsidRPr="00CB323E" w:rsidR="00CE07F3" w:rsidP="00CB323E" w:rsidRDefault="00213805" w14:paraId="2EC48872" w14:textId="6E7A2778">
      <w:pPr>
        <w:contextualSpacing/>
        <w:jc w:val="both"/>
      </w:pPr>
      <w:r w:rsidRPr="00CB323E">
        <w:t xml:space="preserve">Any suspected or actual incidents involving Personal Confidential Information must be reported immediately in line with the Information Incident </w:t>
      </w:r>
      <w:r w:rsidR="00CB323E">
        <w:t>Protocol</w:t>
      </w:r>
      <w:r w:rsidRPr="00CB323E">
        <w:t>.</w:t>
      </w:r>
    </w:p>
    <w:p w:rsidR="00B94E5A" w:rsidP="00CB323E" w:rsidRDefault="00B94E5A" w14:paraId="4B17320F" w14:textId="38D1C7B8">
      <w:pPr>
        <w:pStyle w:val="Heading1"/>
      </w:pPr>
      <w:bookmarkStart w:name="_Toc6745205" w:id="24"/>
      <w:r>
        <w:t>Associated Protocols</w:t>
      </w:r>
      <w:bookmarkEnd w:id="24"/>
    </w:p>
    <w:p w:rsidR="00AF1E4C" w:rsidP="00AF1E4C" w:rsidRDefault="00AF1E4C" w14:paraId="62E7ABFE" w14:textId="69B418EA">
      <w:r>
        <w:t>This policy should be read in conjunction with;</w:t>
      </w:r>
    </w:p>
    <w:p w:rsidR="00A34D1B" w:rsidP="00A34D1B" w:rsidRDefault="00A34D1B" w14:paraId="28B4751E" w14:textId="77777777">
      <w:pPr>
        <w:pStyle w:val="ListParagraph"/>
        <w:numPr>
          <w:ilvl w:val="0"/>
          <w:numId w:val="2"/>
        </w:numPr>
      </w:pPr>
      <w:r>
        <w:t>Risk Management Policy</w:t>
      </w:r>
    </w:p>
    <w:p w:rsidR="00A34D1B" w:rsidP="00A34D1B" w:rsidRDefault="00A34D1B" w14:paraId="2DFDD83E" w14:textId="77777777">
      <w:pPr>
        <w:pStyle w:val="ListParagraph"/>
        <w:numPr>
          <w:ilvl w:val="0"/>
          <w:numId w:val="2"/>
        </w:numPr>
      </w:pPr>
      <w:r>
        <w:t>Change Management Policy</w:t>
      </w:r>
    </w:p>
    <w:p w:rsidR="00A34D1B" w:rsidP="00A34D1B" w:rsidRDefault="00A34D1B" w14:paraId="7E5D7BEA" w14:textId="77777777">
      <w:pPr>
        <w:pStyle w:val="ListParagraph"/>
        <w:numPr>
          <w:ilvl w:val="0"/>
          <w:numId w:val="2"/>
        </w:numPr>
      </w:pPr>
      <w:r>
        <w:t>Information Governance Policy</w:t>
      </w:r>
    </w:p>
    <w:p w:rsidR="00A34D1B" w:rsidP="00A34D1B" w:rsidRDefault="00A34D1B" w14:paraId="6367C574" w14:textId="77777777">
      <w:pPr>
        <w:pStyle w:val="ListParagraph"/>
        <w:numPr>
          <w:ilvl w:val="0"/>
          <w:numId w:val="2"/>
        </w:numPr>
      </w:pPr>
      <w:r>
        <w:t>Information Rights and Access Protocol</w:t>
      </w:r>
    </w:p>
    <w:p w:rsidR="00A34D1B" w:rsidP="00A34D1B" w:rsidRDefault="00A34D1B" w14:paraId="1F0EE050" w14:textId="77777777">
      <w:pPr>
        <w:pStyle w:val="ListParagraph"/>
        <w:numPr>
          <w:ilvl w:val="0"/>
          <w:numId w:val="2"/>
        </w:numPr>
      </w:pPr>
      <w:r>
        <w:t>Information Sharing and Privacy Protocol</w:t>
      </w:r>
    </w:p>
    <w:p w:rsidR="00A34D1B" w:rsidP="00A34D1B" w:rsidRDefault="00A34D1B" w14:paraId="18C0297E" w14:textId="77777777">
      <w:pPr>
        <w:pStyle w:val="ListParagraph"/>
        <w:numPr>
          <w:ilvl w:val="0"/>
          <w:numId w:val="2"/>
        </w:numPr>
      </w:pPr>
      <w:r>
        <w:t>Information Lifecycle and Data Quality Protocol</w:t>
      </w:r>
    </w:p>
    <w:p w:rsidR="00A34D1B" w:rsidP="00A34D1B" w:rsidRDefault="00A34D1B" w14:paraId="1F0484BE" w14:textId="77777777">
      <w:pPr>
        <w:pStyle w:val="ListParagraph"/>
        <w:numPr>
          <w:ilvl w:val="0"/>
          <w:numId w:val="2"/>
        </w:numPr>
      </w:pPr>
      <w:r>
        <w:t>Information / Cyber Security Protocol</w:t>
      </w:r>
    </w:p>
    <w:p w:rsidR="00A34D1B" w:rsidP="00A34D1B" w:rsidRDefault="00A34D1B" w14:paraId="0B6528D2" w14:textId="77777777">
      <w:pPr>
        <w:pStyle w:val="ListParagraph"/>
        <w:numPr>
          <w:ilvl w:val="0"/>
          <w:numId w:val="2"/>
        </w:numPr>
      </w:pPr>
      <w:r>
        <w:t>Information Incident Protocol</w:t>
      </w:r>
    </w:p>
    <w:p w:rsidR="00A34D1B" w:rsidP="00A34D1B" w:rsidRDefault="00A34D1B" w14:paraId="42DBB1D1" w14:textId="77777777">
      <w:pPr>
        <w:pStyle w:val="ListParagraph"/>
        <w:numPr>
          <w:ilvl w:val="0"/>
          <w:numId w:val="2"/>
        </w:numPr>
      </w:pPr>
      <w:r>
        <w:t>Information Risk and Audit Protocol</w:t>
      </w:r>
    </w:p>
    <w:p w:rsidR="00A34D1B" w:rsidP="00A34D1B" w:rsidRDefault="00A34D1B" w14:paraId="01417B3E" w14:textId="77777777">
      <w:pPr>
        <w:pStyle w:val="ListParagraph"/>
        <w:numPr>
          <w:ilvl w:val="0"/>
          <w:numId w:val="2"/>
        </w:numPr>
      </w:pPr>
      <w:r>
        <w:t>Data Protection Impact Assessment Protocol</w:t>
      </w:r>
    </w:p>
    <w:p w:rsidR="00A34D1B" w:rsidP="00A34D1B" w:rsidRDefault="00A34D1B" w14:paraId="4821A49B" w14:textId="77777777">
      <w:pPr>
        <w:pStyle w:val="ListParagraph"/>
        <w:numPr>
          <w:ilvl w:val="0"/>
          <w:numId w:val="2"/>
        </w:numPr>
      </w:pPr>
      <w:r>
        <w:t>Freedom of Information Protocol</w:t>
      </w:r>
    </w:p>
    <w:p w:rsidR="00B94E5A" w:rsidP="00BD737C" w:rsidRDefault="00B94E5A" w14:paraId="53E83D4B" w14:textId="797B805F">
      <w:pPr>
        <w:pStyle w:val="Heading1"/>
      </w:pPr>
      <w:bookmarkStart w:name="_Toc6745206" w:id="25"/>
      <w:r>
        <w:t>Audit Schedule</w:t>
      </w:r>
      <w:bookmarkEnd w:id="25"/>
    </w:p>
    <w:p w:rsidR="008C174E" w:rsidP="008C174E" w:rsidRDefault="008C174E" w14:paraId="11F8A770" w14:textId="0AB8A638">
      <w:r>
        <w:t xml:space="preserve">Compliance with this </w:t>
      </w:r>
      <w:r w:rsidR="00610A56">
        <w:t>protocol</w:t>
      </w:r>
      <w:r>
        <w:t xml:space="preserve"> will be audited and the results fed into the Plan, Do, Check, Act Cycle described in the Information Risk </w:t>
      </w:r>
      <w:r w:rsidR="00A34D1B">
        <w:t>and Audit</w:t>
      </w:r>
      <w:r>
        <w:t xml:space="preserve"> Protocol.</w:t>
      </w:r>
    </w:p>
    <w:p w:rsidR="00B94E5A" w:rsidP="00BD737C" w:rsidRDefault="00B94E5A" w14:paraId="0F8449E7" w14:textId="77777777">
      <w:pPr>
        <w:pStyle w:val="Heading1"/>
      </w:pPr>
      <w:bookmarkStart w:name="_Toc6745207" w:id="26"/>
      <w:r>
        <w:t>Review</w:t>
      </w:r>
      <w:bookmarkEnd w:id="26"/>
    </w:p>
    <w:p w:rsidR="00A55A7F" w:rsidP="00A55A7F" w:rsidRDefault="00AD06AB" w14:paraId="37B24FDE" w14:textId="77777777">
      <w:r>
        <w:t xml:space="preserve">This </w:t>
      </w:r>
      <w:r w:rsidR="00610A56">
        <w:t>protocol</w:t>
      </w:r>
      <w:r>
        <w:t xml:space="preserve"> will be reviewed every year</w:t>
      </w:r>
      <w:r w:rsidR="00610A56">
        <w:t xml:space="preserve"> </w:t>
      </w:r>
      <w:r>
        <w:t>or sooner where necessary</w:t>
      </w:r>
    </w:p>
    <w:p w:rsidR="00A55A7F" w:rsidP="00A55A7F" w:rsidRDefault="00A55A7F" w14:paraId="1FD905ED" w14:textId="77777777"/>
    <w:p w:rsidR="00A55A7F" w:rsidP="00A55A7F" w:rsidRDefault="00A55A7F" w14:paraId="1B39C64E" w14:textId="77777777"/>
    <w:p w:rsidR="00A55A7F" w:rsidP="008C3BA8" w:rsidRDefault="00A55A7F" w14:paraId="59345CCC" w14:textId="0A74FB7B">
      <w:pPr>
        <w:pStyle w:val="Heading1"/>
        <w:numPr>
          <w:ilvl w:val="0"/>
          <w:numId w:val="0"/>
        </w:numPr>
      </w:pPr>
      <w:bookmarkStart w:name="_Toc6745208" w:id="27"/>
      <w:r>
        <w:lastRenderedPageBreak/>
        <w:t>A</w:t>
      </w:r>
      <w:r w:rsidR="00E67766">
        <w:t>ppendix A</w:t>
      </w:r>
      <w:r w:rsidR="00F91027">
        <w:t>:</w:t>
      </w:r>
      <w:r w:rsidR="008C3BA8">
        <w:t xml:space="preserve"> AoMRC</w:t>
      </w:r>
      <w:r w:rsidR="00E67766">
        <w:t xml:space="preserve"> </w:t>
      </w:r>
      <w:r>
        <w:t>Standards for Medical Records</w:t>
      </w:r>
      <w:bookmarkEnd w:id="27"/>
    </w:p>
    <w:p w:rsidR="00380847" w:rsidP="007E386A" w:rsidRDefault="00A55A7F" w14:paraId="7A0401B2" w14:textId="5F4AF20A">
      <w:pPr>
        <w:rPr>
          <w:sz w:val="20"/>
          <w:szCs w:val="20"/>
        </w:rPr>
      </w:pPr>
      <w:r>
        <w:rPr>
          <w:noProof/>
        </w:rPr>
        <w:drawing>
          <wp:inline distT="0" distB="0" distL="0" distR="0" wp14:anchorId="161D774D" wp14:editId="79E7977C">
            <wp:extent cx="5353050" cy="573323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0413" t="16819" r="31759" b="11124"/>
                    <a:stretch/>
                  </pic:blipFill>
                  <pic:spPr bwMode="auto">
                    <a:xfrm>
                      <a:off x="0" y="0"/>
                      <a:ext cx="5362238" cy="5743079"/>
                    </a:xfrm>
                    <a:prstGeom prst="rect">
                      <a:avLst/>
                    </a:prstGeom>
                    <a:ln>
                      <a:noFill/>
                    </a:ln>
                    <a:extLst>
                      <a:ext uri="{53640926-AAD7-44D8-BBD7-CCE9431645EC}">
                        <a14:shadowObscured xmlns:a14="http://schemas.microsoft.com/office/drawing/2010/main"/>
                      </a:ext>
                    </a:extLst>
                  </pic:spPr>
                </pic:pic>
              </a:graphicData>
            </a:graphic>
          </wp:inline>
        </w:drawing>
      </w:r>
    </w:p>
    <w:sectPr w:rsidR="00380847" w:rsidSect="00A55A7F">
      <w:headerReference w:type="default" r:id="rId13"/>
      <w:pgSz w:w="11906" w:h="16838" w:orient="portrait"/>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2D6" w:rsidP="00B94E5A" w:rsidRDefault="000472D6" w14:paraId="5DB418E1" w14:textId="77777777">
      <w:pPr>
        <w:spacing w:after="0" w:line="240" w:lineRule="auto"/>
      </w:pPr>
      <w:r>
        <w:separator/>
      </w:r>
    </w:p>
  </w:endnote>
  <w:endnote w:type="continuationSeparator" w:id="0">
    <w:p w:rsidR="000472D6" w:rsidP="00B94E5A" w:rsidRDefault="000472D6" w14:paraId="595E4EA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Light">
    <w:panose1 w:val="020B0304020202020204"/>
    <w:charset w:val="00"/>
    <w:family w:val="swiss"/>
    <w:pitch w:val="variable"/>
    <w:sig w:usb0="2000028F" w:usb1="00000002"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2D6" w:rsidP="00B94E5A" w:rsidRDefault="000472D6" w14:paraId="5488A59C" w14:textId="77777777">
      <w:pPr>
        <w:spacing w:after="0" w:line="240" w:lineRule="auto"/>
      </w:pPr>
      <w:r>
        <w:separator/>
      </w:r>
    </w:p>
  </w:footnote>
  <w:footnote w:type="continuationSeparator" w:id="0">
    <w:p w:rsidR="000472D6" w:rsidP="00B94E5A" w:rsidRDefault="000472D6" w14:paraId="32E09F3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BA2D92" w:rsidR="0093707C" w:rsidP="0093707C" w:rsidRDefault="000556A6" w14:paraId="0EC39313" w14:textId="17958C95">
    <w:pPr>
      <w:pStyle w:val="Header"/>
      <w:jc w:val="center"/>
      <w:rPr>
        <w:sz w:val="60"/>
        <w:szCs w:val="60"/>
      </w:rPr>
    </w:pPr>
    <w:r>
      <w:rPr>
        <w:noProof/>
        <w:sz w:val="60"/>
        <w:szCs w:val="60"/>
      </w:rPr>
      <w:t>Norfolk</w:t>
    </w:r>
    <w:r w:rsidR="0093707C">
      <w:rPr>
        <w:noProof/>
        <w:sz w:val="60"/>
        <w:szCs w:val="60"/>
      </w:rPr>
      <w:t xml:space="preserve"> GP Practice DPO Cluster</w:t>
    </w:r>
  </w:p>
  <w:p w:rsidR="00213805" w:rsidRDefault="0093707C" w14:paraId="3E32844B" w14:textId="5AA4CB9D">
    <w:pPr>
      <w:pStyle w:val="Header"/>
    </w:pPr>
    <w:r w:rsidRPr="00930090" w:rsidDel="0093707C">
      <w:rPr>
        <w:noProof/>
        <w:sz w:val="60"/>
        <w:szCs w:val="60"/>
        <w:highlight w:val="gre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1CD9"/>
    <w:multiLevelType w:val="hybridMultilevel"/>
    <w:tmpl w:val="A91629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78243D0"/>
    <w:multiLevelType w:val="hybridMultilevel"/>
    <w:tmpl w:val="A394DA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C636B74"/>
    <w:multiLevelType w:val="hybridMultilevel"/>
    <w:tmpl w:val="098EEF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15356CF"/>
    <w:multiLevelType w:val="hybridMultilevel"/>
    <w:tmpl w:val="386A85DC"/>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7640894"/>
    <w:multiLevelType w:val="hybridMultilevel"/>
    <w:tmpl w:val="88B2AC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3924587"/>
    <w:multiLevelType w:val="hybridMultilevel"/>
    <w:tmpl w:val="257EDB6A"/>
    <w:lvl w:ilvl="0" w:tplc="64FC92D4">
      <w:numFmt w:val="bullet"/>
      <w:lvlText w:val="•"/>
      <w:lvlJc w:val="left"/>
      <w:pPr>
        <w:ind w:left="1080" w:hanging="720"/>
      </w:pPr>
      <w:rPr>
        <w:rFonts w:hint="default" w:ascii="Arial Nova Light" w:hAnsi="Arial Nova Light"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B6A2CEF"/>
    <w:multiLevelType w:val="hybridMultilevel"/>
    <w:tmpl w:val="D6DA2018"/>
    <w:lvl w:ilvl="0" w:tplc="08090005">
      <w:start w:val="1"/>
      <w:numFmt w:val="bullet"/>
      <w:lvlText w:val=""/>
      <w:lvlJc w:val="left"/>
      <w:pPr>
        <w:ind w:left="360" w:hanging="360"/>
      </w:pPr>
      <w:rPr>
        <w:rFonts w:hint="default" w:ascii="Wingdings" w:hAnsi="Wingdings"/>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7" w15:restartNumberingAfterBreak="0">
    <w:nsid w:val="32B50582"/>
    <w:multiLevelType w:val="hybridMultilevel"/>
    <w:tmpl w:val="08BA25AC"/>
    <w:lvl w:ilvl="0" w:tplc="95AC901E">
      <w:start w:val="1"/>
      <w:numFmt w:val="decimal"/>
      <w:pStyle w:val="Heading1"/>
      <w:lvlText w:val="%1."/>
      <w:lvlJc w:val="left"/>
      <w:pPr>
        <w:ind w:left="24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F60F58"/>
    <w:multiLevelType w:val="hybridMultilevel"/>
    <w:tmpl w:val="9DBCD9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76E0E15"/>
    <w:multiLevelType w:val="hybridMultilevel"/>
    <w:tmpl w:val="E758C47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48B64003"/>
    <w:multiLevelType w:val="hybridMultilevel"/>
    <w:tmpl w:val="CA70C85E"/>
    <w:lvl w:ilvl="0" w:tplc="08090001">
      <w:start w:val="1"/>
      <w:numFmt w:val="bullet"/>
      <w:lvlText w:val=""/>
      <w:lvlJc w:val="left"/>
      <w:pPr>
        <w:ind w:left="860" w:hanging="360"/>
      </w:pPr>
      <w:rPr>
        <w:rFonts w:hint="default" w:ascii="Symbol" w:hAnsi="Symbol"/>
      </w:rPr>
    </w:lvl>
    <w:lvl w:ilvl="1" w:tplc="08090003" w:tentative="1">
      <w:start w:val="1"/>
      <w:numFmt w:val="bullet"/>
      <w:lvlText w:val="o"/>
      <w:lvlJc w:val="left"/>
      <w:pPr>
        <w:ind w:left="1580" w:hanging="360"/>
      </w:pPr>
      <w:rPr>
        <w:rFonts w:hint="default" w:ascii="Courier New" w:hAnsi="Courier New" w:cs="Courier New"/>
      </w:rPr>
    </w:lvl>
    <w:lvl w:ilvl="2" w:tplc="08090005" w:tentative="1">
      <w:start w:val="1"/>
      <w:numFmt w:val="bullet"/>
      <w:lvlText w:val=""/>
      <w:lvlJc w:val="left"/>
      <w:pPr>
        <w:ind w:left="2300" w:hanging="360"/>
      </w:pPr>
      <w:rPr>
        <w:rFonts w:hint="default" w:ascii="Wingdings" w:hAnsi="Wingdings"/>
      </w:rPr>
    </w:lvl>
    <w:lvl w:ilvl="3" w:tplc="08090001" w:tentative="1">
      <w:start w:val="1"/>
      <w:numFmt w:val="bullet"/>
      <w:lvlText w:val=""/>
      <w:lvlJc w:val="left"/>
      <w:pPr>
        <w:ind w:left="3020" w:hanging="360"/>
      </w:pPr>
      <w:rPr>
        <w:rFonts w:hint="default" w:ascii="Symbol" w:hAnsi="Symbol"/>
      </w:rPr>
    </w:lvl>
    <w:lvl w:ilvl="4" w:tplc="08090003" w:tentative="1">
      <w:start w:val="1"/>
      <w:numFmt w:val="bullet"/>
      <w:lvlText w:val="o"/>
      <w:lvlJc w:val="left"/>
      <w:pPr>
        <w:ind w:left="3740" w:hanging="360"/>
      </w:pPr>
      <w:rPr>
        <w:rFonts w:hint="default" w:ascii="Courier New" w:hAnsi="Courier New" w:cs="Courier New"/>
      </w:rPr>
    </w:lvl>
    <w:lvl w:ilvl="5" w:tplc="08090005" w:tentative="1">
      <w:start w:val="1"/>
      <w:numFmt w:val="bullet"/>
      <w:lvlText w:val=""/>
      <w:lvlJc w:val="left"/>
      <w:pPr>
        <w:ind w:left="4460" w:hanging="360"/>
      </w:pPr>
      <w:rPr>
        <w:rFonts w:hint="default" w:ascii="Wingdings" w:hAnsi="Wingdings"/>
      </w:rPr>
    </w:lvl>
    <w:lvl w:ilvl="6" w:tplc="08090001" w:tentative="1">
      <w:start w:val="1"/>
      <w:numFmt w:val="bullet"/>
      <w:lvlText w:val=""/>
      <w:lvlJc w:val="left"/>
      <w:pPr>
        <w:ind w:left="5180" w:hanging="360"/>
      </w:pPr>
      <w:rPr>
        <w:rFonts w:hint="default" w:ascii="Symbol" w:hAnsi="Symbol"/>
      </w:rPr>
    </w:lvl>
    <w:lvl w:ilvl="7" w:tplc="08090003" w:tentative="1">
      <w:start w:val="1"/>
      <w:numFmt w:val="bullet"/>
      <w:lvlText w:val="o"/>
      <w:lvlJc w:val="left"/>
      <w:pPr>
        <w:ind w:left="5900" w:hanging="360"/>
      </w:pPr>
      <w:rPr>
        <w:rFonts w:hint="default" w:ascii="Courier New" w:hAnsi="Courier New" w:cs="Courier New"/>
      </w:rPr>
    </w:lvl>
    <w:lvl w:ilvl="8" w:tplc="08090005" w:tentative="1">
      <w:start w:val="1"/>
      <w:numFmt w:val="bullet"/>
      <w:lvlText w:val=""/>
      <w:lvlJc w:val="left"/>
      <w:pPr>
        <w:ind w:left="6620" w:hanging="360"/>
      </w:pPr>
      <w:rPr>
        <w:rFonts w:hint="default" w:ascii="Wingdings" w:hAnsi="Wingdings"/>
      </w:rPr>
    </w:lvl>
  </w:abstractNum>
  <w:abstractNum w:abstractNumId="11" w15:restartNumberingAfterBreak="0">
    <w:nsid w:val="5BC54C36"/>
    <w:multiLevelType w:val="hybridMultilevel"/>
    <w:tmpl w:val="0F0820A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72DB0D47"/>
    <w:multiLevelType w:val="hybridMultilevel"/>
    <w:tmpl w:val="02A83A7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7"/>
  </w:num>
  <w:num w:numId="2">
    <w:abstractNumId w:val="3"/>
  </w:num>
  <w:num w:numId="3">
    <w:abstractNumId w:val="5"/>
  </w:num>
  <w:num w:numId="4">
    <w:abstractNumId w:val="2"/>
  </w:num>
  <w:num w:numId="5">
    <w:abstractNumId w:val="8"/>
  </w:num>
  <w:num w:numId="6">
    <w:abstractNumId w:val="1"/>
  </w:num>
  <w:num w:numId="7">
    <w:abstractNumId w:val="11"/>
  </w:num>
  <w:num w:numId="8">
    <w:abstractNumId w:val="9"/>
  </w:num>
  <w:num w:numId="9">
    <w:abstractNumId w:val="10"/>
  </w:num>
  <w:num w:numId="10">
    <w:abstractNumId w:val="0"/>
  </w:num>
  <w:num w:numId="11">
    <w:abstractNumId w:val="4"/>
  </w:num>
  <w:num w:numId="12">
    <w:abstractNumId w:val="12"/>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6"/>
  </w:num>
  <w:num w:numId="22">
    <w:abstractNumId w:val="7"/>
  </w:num>
  <w:num w:numId="23">
    <w:abstractNumId w:val="7"/>
  </w:num>
  <w:num w:numId="24">
    <w:abstractNumId w:val="7"/>
  </w:num>
  <w:num w:numId="25">
    <w:abstractNumId w:val="7"/>
  </w:num>
  <w:numIdMacAtCleanup w:val="1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E5A"/>
    <w:rsid w:val="00014FB3"/>
    <w:rsid w:val="000472D6"/>
    <w:rsid w:val="000556A6"/>
    <w:rsid w:val="00084782"/>
    <w:rsid w:val="000D76AA"/>
    <w:rsid w:val="000F260E"/>
    <w:rsid w:val="000F4B31"/>
    <w:rsid w:val="00117086"/>
    <w:rsid w:val="00163DF8"/>
    <w:rsid w:val="00176159"/>
    <w:rsid w:val="00184F50"/>
    <w:rsid w:val="00185F34"/>
    <w:rsid w:val="00213805"/>
    <w:rsid w:val="00255B5A"/>
    <w:rsid w:val="002613AD"/>
    <w:rsid w:val="002C1102"/>
    <w:rsid w:val="002C24E8"/>
    <w:rsid w:val="002E1BCC"/>
    <w:rsid w:val="00315C5E"/>
    <w:rsid w:val="00324B4C"/>
    <w:rsid w:val="00380847"/>
    <w:rsid w:val="003C512D"/>
    <w:rsid w:val="003D0EE8"/>
    <w:rsid w:val="003D2AA3"/>
    <w:rsid w:val="003D610E"/>
    <w:rsid w:val="00472441"/>
    <w:rsid w:val="004B5A1F"/>
    <w:rsid w:val="004D0819"/>
    <w:rsid w:val="005003CC"/>
    <w:rsid w:val="005361DD"/>
    <w:rsid w:val="0055581D"/>
    <w:rsid w:val="005C461C"/>
    <w:rsid w:val="00610A56"/>
    <w:rsid w:val="00735409"/>
    <w:rsid w:val="007566D3"/>
    <w:rsid w:val="00784793"/>
    <w:rsid w:val="007A7CED"/>
    <w:rsid w:val="007E0044"/>
    <w:rsid w:val="007E386A"/>
    <w:rsid w:val="007F696F"/>
    <w:rsid w:val="00812449"/>
    <w:rsid w:val="00812754"/>
    <w:rsid w:val="00830E8F"/>
    <w:rsid w:val="008358FE"/>
    <w:rsid w:val="00851274"/>
    <w:rsid w:val="00854C9E"/>
    <w:rsid w:val="00875E36"/>
    <w:rsid w:val="00877049"/>
    <w:rsid w:val="008C174E"/>
    <w:rsid w:val="008C3BA8"/>
    <w:rsid w:val="008D19B8"/>
    <w:rsid w:val="009030B6"/>
    <w:rsid w:val="00907383"/>
    <w:rsid w:val="00911F51"/>
    <w:rsid w:val="009256C1"/>
    <w:rsid w:val="00930090"/>
    <w:rsid w:val="0093707C"/>
    <w:rsid w:val="00941A58"/>
    <w:rsid w:val="009433E9"/>
    <w:rsid w:val="009732B5"/>
    <w:rsid w:val="009D6B6E"/>
    <w:rsid w:val="009E3468"/>
    <w:rsid w:val="009E5DA0"/>
    <w:rsid w:val="00A34D1B"/>
    <w:rsid w:val="00A55A7F"/>
    <w:rsid w:val="00A66378"/>
    <w:rsid w:val="00AD06AB"/>
    <w:rsid w:val="00AF1E4C"/>
    <w:rsid w:val="00AF38E3"/>
    <w:rsid w:val="00B14990"/>
    <w:rsid w:val="00B40380"/>
    <w:rsid w:val="00B94E5A"/>
    <w:rsid w:val="00BA32AD"/>
    <w:rsid w:val="00BD737C"/>
    <w:rsid w:val="00BE18BD"/>
    <w:rsid w:val="00C07BE4"/>
    <w:rsid w:val="00C24936"/>
    <w:rsid w:val="00C46321"/>
    <w:rsid w:val="00C86FE9"/>
    <w:rsid w:val="00CB323E"/>
    <w:rsid w:val="00CD4743"/>
    <w:rsid w:val="00CE07F3"/>
    <w:rsid w:val="00D212B5"/>
    <w:rsid w:val="00D22621"/>
    <w:rsid w:val="00D25CAA"/>
    <w:rsid w:val="00D65BCB"/>
    <w:rsid w:val="00E53E66"/>
    <w:rsid w:val="00E67766"/>
    <w:rsid w:val="00E718DB"/>
    <w:rsid w:val="00E90D5E"/>
    <w:rsid w:val="00EA7CB2"/>
    <w:rsid w:val="00EB0209"/>
    <w:rsid w:val="00EB4F7D"/>
    <w:rsid w:val="00EC788C"/>
    <w:rsid w:val="00ED3D25"/>
    <w:rsid w:val="00ED5CD6"/>
    <w:rsid w:val="00EE1D80"/>
    <w:rsid w:val="00F03257"/>
    <w:rsid w:val="00F46E39"/>
    <w:rsid w:val="00F804BB"/>
    <w:rsid w:val="00F83EF8"/>
    <w:rsid w:val="00F91027"/>
    <w:rsid w:val="00FE4C91"/>
    <w:rsid w:val="0E6FA346"/>
    <w:rsid w:val="11311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EE4ED1"/>
  <w15:chartTrackingRefBased/>
  <w15:docId w15:val="{B0C6B3AB-0833-4374-BEAF-4EF1B937457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Text"/>
    <w:qFormat/>
    <w:rsid w:val="00F03257"/>
    <w:pPr>
      <w:spacing w:line="360" w:lineRule="auto"/>
    </w:pPr>
    <w:rPr>
      <w:rFonts w:ascii="Arial Nova Light" w:hAnsi="Arial Nova Light"/>
    </w:rPr>
  </w:style>
  <w:style w:type="paragraph" w:styleId="Heading1">
    <w:name w:val="heading 1"/>
    <w:basedOn w:val="Normal"/>
    <w:next w:val="Normal"/>
    <w:link w:val="Heading1Char"/>
    <w:uiPriority w:val="9"/>
    <w:qFormat/>
    <w:rsid w:val="007E386A"/>
    <w:pPr>
      <w:keepNext/>
      <w:keepLines/>
      <w:numPr>
        <w:numId w:val="1"/>
      </w:numPr>
      <w:spacing w:before="240" w:after="0"/>
      <w:ind w:left="36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3DF8"/>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94E5A"/>
    <w:pPr>
      <w:tabs>
        <w:tab w:val="center" w:pos="4513"/>
        <w:tab w:val="right" w:pos="9026"/>
      </w:tabs>
      <w:spacing w:after="0" w:line="240" w:lineRule="auto"/>
    </w:pPr>
  </w:style>
  <w:style w:type="character" w:styleId="HeaderChar" w:customStyle="1">
    <w:name w:val="Header Char"/>
    <w:basedOn w:val="DefaultParagraphFont"/>
    <w:link w:val="Header"/>
    <w:uiPriority w:val="99"/>
    <w:rsid w:val="00B94E5A"/>
  </w:style>
  <w:style w:type="paragraph" w:styleId="Footer">
    <w:name w:val="footer"/>
    <w:basedOn w:val="Normal"/>
    <w:link w:val="FooterChar"/>
    <w:uiPriority w:val="99"/>
    <w:unhideWhenUsed/>
    <w:rsid w:val="00B94E5A"/>
    <w:pPr>
      <w:tabs>
        <w:tab w:val="center" w:pos="4513"/>
        <w:tab w:val="right" w:pos="9026"/>
      </w:tabs>
      <w:spacing w:after="0" w:line="240" w:lineRule="auto"/>
    </w:pPr>
  </w:style>
  <w:style w:type="character" w:styleId="FooterChar" w:customStyle="1">
    <w:name w:val="Footer Char"/>
    <w:basedOn w:val="DefaultParagraphFont"/>
    <w:link w:val="Footer"/>
    <w:uiPriority w:val="99"/>
    <w:rsid w:val="00B94E5A"/>
  </w:style>
  <w:style w:type="character" w:styleId="Heading1Char" w:customStyle="1">
    <w:name w:val="Heading 1 Char"/>
    <w:basedOn w:val="DefaultParagraphFont"/>
    <w:link w:val="Heading1"/>
    <w:uiPriority w:val="9"/>
    <w:rsid w:val="007E386A"/>
    <w:rPr>
      <w:rFonts w:asciiTheme="majorHAnsi" w:hAnsiTheme="majorHAnsi" w:eastAsiaTheme="majorEastAsia" w:cstheme="majorBidi"/>
      <w:color w:val="2F5496" w:themeColor="accent1" w:themeShade="BF"/>
      <w:sz w:val="32"/>
      <w:szCs w:val="32"/>
    </w:rPr>
  </w:style>
  <w:style w:type="paragraph" w:styleId="NoSpacing">
    <w:name w:val="No Spacing"/>
    <w:aliases w:val="TITLE"/>
    <w:uiPriority w:val="1"/>
    <w:qFormat/>
    <w:rsid w:val="00AD06AB"/>
    <w:pPr>
      <w:spacing w:after="0" w:line="360" w:lineRule="auto"/>
      <w:jc w:val="center"/>
    </w:pPr>
    <w:rPr>
      <w:rFonts w:ascii="Arial Nova Light" w:hAnsi="Arial Nova Light"/>
      <w:color w:val="2E74B5" w:themeColor="accent5" w:themeShade="BF"/>
      <w:sz w:val="52"/>
    </w:rPr>
  </w:style>
  <w:style w:type="table" w:styleId="TableGrid">
    <w:name w:val="Table Grid"/>
    <w:basedOn w:val="TableNormal"/>
    <w:uiPriority w:val="39"/>
    <w:rsid w:val="00B94E5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4-Accent5">
    <w:name w:val="Grid Table 4 Accent 5"/>
    <w:basedOn w:val="TableNormal"/>
    <w:uiPriority w:val="49"/>
    <w:rsid w:val="00B94E5A"/>
    <w:pPr>
      <w:spacing w:after="0" w:line="240" w:lineRule="auto"/>
    </w:pPr>
    <w:tblPr>
      <w:tblStyleRowBandSize w:val="1"/>
      <w:tblStyleColBandSize w:val="1"/>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color w:val="FFFFFF" w:themeColor="background1"/>
      </w:rPr>
      <w:tblPr/>
      <w:tcPr>
        <w:tcBorders>
          <w:top w:val="single" w:color="5B9BD5" w:themeColor="accent5" w:sz="4" w:space="0"/>
          <w:left w:val="single" w:color="5B9BD5" w:themeColor="accent5" w:sz="4" w:space="0"/>
          <w:bottom w:val="single" w:color="5B9BD5" w:themeColor="accent5" w:sz="4" w:space="0"/>
          <w:right w:val="single" w:color="5B9BD5" w:themeColor="accent5" w:sz="4" w:space="0"/>
          <w:insideH w:val="nil"/>
          <w:insideV w:val="nil"/>
        </w:tcBorders>
        <w:shd w:val="clear" w:color="auto" w:fill="5B9BD5" w:themeFill="accent5"/>
      </w:tcPr>
    </w:tblStylePr>
    <w:tblStylePr w:type="lastRow">
      <w:rPr>
        <w:b/>
        <w:bCs/>
      </w:rPr>
      <w:tblPr/>
      <w:tcPr>
        <w:tcBorders>
          <w:top w:val="double" w:color="5B9BD5" w:themeColor="accent5" w:sz="4" w:space="0"/>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odyText">
    <w:name w:val="Body Text"/>
    <w:basedOn w:val="Normal"/>
    <w:link w:val="BodyTextChar"/>
    <w:uiPriority w:val="1"/>
    <w:qFormat/>
    <w:rsid w:val="002613AD"/>
    <w:pPr>
      <w:widowControl w:val="0"/>
      <w:autoSpaceDE w:val="0"/>
      <w:autoSpaceDN w:val="0"/>
      <w:spacing w:after="0"/>
    </w:pPr>
    <w:rPr>
      <w:rFonts w:eastAsia="Verdana" w:cs="Verdana"/>
      <w:szCs w:val="20"/>
      <w:lang w:val="en-US"/>
    </w:rPr>
  </w:style>
  <w:style w:type="character" w:styleId="BodyTextChar" w:customStyle="1">
    <w:name w:val="Body Text Char"/>
    <w:basedOn w:val="DefaultParagraphFont"/>
    <w:link w:val="BodyText"/>
    <w:uiPriority w:val="1"/>
    <w:rsid w:val="002613AD"/>
    <w:rPr>
      <w:rFonts w:ascii="Arial Nova Light" w:hAnsi="Arial Nova Light" w:eastAsia="Verdana" w:cs="Verdana"/>
      <w:szCs w:val="20"/>
      <w:lang w:val="en-US"/>
    </w:rPr>
  </w:style>
  <w:style w:type="paragraph" w:styleId="TOCHeading">
    <w:name w:val="TOC Heading"/>
    <w:basedOn w:val="Heading1"/>
    <w:next w:val="Normal"/>
    <w:uiPriority w:val="39"/>
    <w:unhideWhenUsed/>
    <w:qFormat/>
    <w:rsid w:val="00F03257"/>
    <w:pPr>
      <w:spacing w:line="259" w:lineRule="auto"/>
      <w:outlineLvl w:val="9"/>
    </w:pPr>
    <w:rPr>
      <w:lang w:val="en-US"/>
    </w:rPr>
  </w:style>
  <w:style w:type="paragraph" w:styleId="TOC1">
    <w:name w:val="toc 1"/>
    <w:basedOn w:val="Normal"/>
    <w:next w:val="Normal"/>
    <w:autoRedefine/>
    <w:uiPriority w:val="39"/>
    <w:unhideWhenUsed/>
    <w:rsid w:val="00F03257"/>
    <w:pPr>
      <w:spacing w:after="100"/>
    </w:pPr>
  </w:style>
  <w:style w:type="character" w:styleId="Hyperlink">
    <w:name w:val="Hyperlink"/>
    <w:basedOn w:val="DefaultParagraphFont"/>
    <w:uiPriority w:val="99"/>
    <w:unhideWhenUsed/>
    <w:rsid w:val="00F03257"/>
    <w:rPr>
      <w:color w:val="0563C1" w:themeColor="hyperlink"/>
      <w:u w:val="single"/>
    </w:rPr>
  </w:style>
  <w:style w:type="paragraph" w:styleId="ListParagraph">
    <w:name w:val="List Paragraph"/>
    <w:basedOn w:val="Normal"/>
    <w:uiPriority w:val="34"/>
    <w:qFormat/>
    <w:rsid w:val="00163DF8"/>
    <w:pPr>
      <w:ind w:left="720"/>
      <w:contextualSpacing/>
    </w:pPr>
  </w:style>
  <w:style w:type="paragraph" w:styleId="NormalWeb">
    <w:name w:val="Normal (Web)"/>
    <w:basedOn w:val="Normal"/>
    <w:uiPriority w:val="99"/>
    <w:rsid w:val="00163DF8"/>
    <w:pPr>
      <w:spacing w:before="100" w:beforeAutospacing="1" w:after="100" w:afterAutospacing="1"/>
    </w:pPr>
    <w:rPr>
      <w:rFonts w:eastAsia="Times New Roman" w:cs="Times New Roman"/>
      <w:szCs w:val="24"/>
      <w:lang w:eastAsia="en-GB"/>
    </w:rPr>
  </w:style>
  <w:style w:type="character" w:styleId="Heading2Char" w:customStyle="1">
    <w:name w:val="Heading 2 Char"/>
    <w:basedOn w:val="DefaultParagraphFont"/>
    <w:link w:val="Heading2"/>
    <w:uiPriority w:val="9"/>
    <w:rsid w:val="00163DF8"/>
    <w:rPr>
      <w:rFonts w:asciiTheme="majorHAnsi" w:hAnsiTheme="majorHAnsi" w:eastAsiaTheme="majorEastAsia" w:cstheme="majorBidi"/>
      <w:color w:val="2F5496" w:themeColor="accent1" w:themeShade="BF"/>
      <w:sz w:val="26"/>
      <w:szCs w:val="26"/>
    </w:rPr>
  </w:style>
  <w:style w:type="paragraph" w:styleId="TOC2">
    <w:name w:val="toc 2"/>
    <w:basedOn w:val="Normal"/>
    <w:next w:val="Normal"/>
    <w:autoRedefine/>
    <w:uiPriority w:val="39"/>
    <w:unhideWhenUsed/>
    <w:rsid w:val="00AF1E4C"/>
    <w:pPr>
      <w:spacing w:after="100"/>
      <w:ind w:left="220"/>
    </w:pPr>
  </w:style>
  <w:style w:type="paragraph" w:styleId="Default" w:customStyle="1">
    <w:name w:val="Default"/>
    <w:rsid w:val="008C3BA8"/>
    <w:pPr>
      <w:autoSpaceDE w:val="0"/>
      <w:autoSpaceDN w:val="0"/>
      <w:adjustRightInd w:val="0"/>
      <w:spacing w:after="0" w:line="240" w:lineRule="auto"/>
    </w:pPr>
    <w:rPr>
      <w:rFonts w:ascii="Arial" w:hAnsi="Arial" w:eastAsia="Times New Roman" w:cs="Arial"/>
      <w:color w:val="000000"/>
      <w:sz w:val="24"/>
      <w:szCs w:val="24"/>
      <w:lang w:eastAsia="en-GB"/>
    </w:rPr>
  </w:style>
  <w:style w:type="paragraph" w:styleId="FootnoteText">
    <w:name w:val="footnote text"/>
    <w:basedOn w:val="Normal"/>
    <w:link w:val="FootnoteTextChar"/>
    <w:semiHidden/>
    <w:unhideWhenUsed/>
    <w:rsid w:val="009030B6"/>
    <w:pPr>
      <w:spacing w:after="0" w:line="240" w:lineRule="auto"/>
    </w:pPr>
    <w:rPr>
      <w:rFonts w:ascii="Tahoma" w:hAnsi="Tahoma" w:eastAsia="Times New Roman" w:cs="Times New Roman"/>
      <w:sz w:val="20"/>
      <w:szCs w:val="20"/>
    </w:rPr>
  </w:style>
  <w:style w:type="character" w:styleId="FootnoteTextChar" w:customStyle="1">
    <w:name w:val="Footnote Text Char"/>
    <w:basedOn w:val="DefaultParagraphFont"/>
    <w:link w:val="FootnoteText"/>
    <w:semiHidden/>
    <w:rsid w:val="009030B6"/>
    <w:rPr>
      <w:rFonts w:ascii="Tahoma" w:hAnsi="Tahoma" w:eastAsia="Times New Roman" w:cs="Times New Roman"/>
      <w:sz w:val="20"/>
      <w:szCs w:val="20"/>
    </w:rPr>
  </w:style>
  <w:style w:type="character" w:styleId="FootnoteReference">
    <w:name w:val="footnote reference"/>
    <w:semiHidden/>
    <w:unhideWhenUsed/>
    <w:rsid w:val="009030B6"/>
    <w:rPr>
      <w:vertAlign w:val="superscript"/>
    </w:rPr>
  </w:style>
  <w:style w:type="paragraph" w:styleId="BalloonText">
    <w:name w:val="Balloon Text"/>
    <w:basedOn w:val="Normal"/>
    <w:link w:val="BalloonTextChar"/>
    <w:uiPriority w:val="99"/>
    <w:semiHidden/>
    <w:unhideWhenUsed/>
    <w:rsid w:val="0093707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370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315065">
      <w:bodyDiv w:val="1"/>
      <w:marLeft w:val="0"/>
      <w:marRight w:val="0"/>
      <w:marTop w:val="0"/>
      <w:marBottom w:val="0"/>
      <w:divBdr>
        <w:top w:val="none" w:sz="0" w:space="0" w:color="auto"/>
        <w:left w:val="none" w:sz="0" w:space="0" w:color="auto"/>
        <w:bottom w:val="none" w:sz="0" w:space="0" w:color="auto"/>
        <w:right w:val="none" w:sz="0" w:space="0" w:color="auto"/>
      </w:divBdr>
    </w:div>
    <w:div w:id="1785297950">
      <w:bodyDiv w:val="1"/>
      <w:marLeft w:val="0"/>
      <w:marRight w:val="0"/>
      <w:marTop w:val="0"/>
      <w:marBottom w:val="0"/>
      <w:divBdr>
        <w:top w:val="none" w:sz="0" w:space="0" w:color="auto"/>
        <w:left w:val="none" w:sz="0" w:space="0" w:color="auto"/>
        <w:bottom w:val="none" w:sz="0" w:space="0" w:color="auto"/>
        <w:right w:val="none" w:sz="0" w:space="0" w:color="auto"/>
      </w:divBdr>
    </w:div>
    <w:div w:id="18812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fontTable" Target="fontTable.xml" Id="rId14" /><Relationship Type="http://schemas.openxmlformats.org/officeDocument/2006/relationships/glossaryDocument" Target="/word/glossary/document.xml" Id="R752bf7c286e14b1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511c5ab-1408-48d0-97ac-dddb42389d33}"/>
      </w:docPartPr>
      <w:docPartBody>
        <w:p w14:paraId="0521851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7F1E6-5918-4670-B8A5-244EFD17C82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Emma Cooper</dc:creator>
  <keywords/>
  <dc:description/>
  <lastModifiedBy>Emma Cooper</lastModifiedBy>
  <revision>14</revision>
  <dcterms:created xsi:type="dcterms:W3CDTF">2019-04-21T12:18:00.0000000Z</dcterms:created>
  <dcterms:modified xsi:type="dcterms:W3CDTF">2020-02-12T10:50:09.0710083Z</dcterms:modified>
</coreProperties>
</file>