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CFC4" w14:textId="11CCEC77" w:rsidR="00B7034F" w:rsidRDefault="00583934" w:rsidP="00B7034F">
      <w:pPr>
        <w:pStyle w:val="Heading2"/>
        <w:jc w:val="center"/>
        <w:rPr>
          <w:rStyle w:val="Hyperlink"/>
        </w:rPr>
      </w:pPr>
      <w:r>
        <w:rPr>
          <w:rStyle w:val="Hyperlink"/>
        </w:rPr>
        <w:t xml:space="preserve">NNPC </w:t>
      </w:r>
      <w:r w:rsidR="00504AE3">
        <w:rPr>
          <w:rStyle w:val="Hyperlink"/>
        </w:rPr>
        <w:t>Asylum Seeker Project</w:t>
      </w:r>
      <w:r w:rsidR="00B7034F">
        <w:rPr>
          <w:rStyle w:val="Hyperlink"/>
        </w:rPr>
        <w:t xml:space="preserve"> </w:t>
      </w:r>
      <w:r w:rsidR="00B7034F" w:rsidRPr="008E28FD">
        <w:rPr>
          <w:rStyle w:val="Hyperlink"/>
        </w:rPr>
        <w:t xml:space="preserve">– </w:t>
      </w:r>
      <w:r w:rsidR="00B7034F">
        <w:rPr>
          <w:rStyle w:val="Hyperlink"/>
        </w:rPr>
        <w:t xml:space="preserve">Information Sharing Protocol </w:t>
      </w:r>
    </w:p>
    <w:p w14:paraId="46BF78A1" w14:textId="77777777" w:rsidR="00B7034F" w:rsidRDefault="00B7034F" w:rsidP="00B7034F"/>
    <w:p w14:paraId="3A839DF1" w14:textId="71F90BF8" w:rsidR="00B7034F" w:rsidRPr="00E117CC" w:rsidRDefault="003806D7" w:rsidP="003806D7">
      <w:pPr>
        <w:rPr>
          <w:rFonts w:cs="Arial"/>
          <w:color w:val="000000"/>
          <w:szCs w:val="22"/>
          <w:lang w:eastAsia="en-GB"/>
        </w:rPr>
      </w:pPr>
      <w:r>
        <w:rPr>
          <w:rFonts w:cs="Arial"/>
          <w:color w:val="000000"/>
          <w:szCs w:val="22"/>
          <w:lang w:eastAsia="en-GB"/>
        </w:rPr>
        <w:t xml:space="preserve">The </w:t>
      </w:r>
      <w:r w:rsidR="00583934" w:rsidRPr="00583934">
        <w:rPr>
          <w:rFonts w:cs="Arial"/>
          <w:color w:val="000000"/>
          <w:szCs w:val="22"/>
          <w:lang w:eastAsia="en-GB"/>
        </w:rPr>
        <w:t>Norfolk and Waveney Health and Social Care Information Sharing Agreement</w:t>
      </w:r>
      <w:r w:rsidRPr="00583934">
        <w:rPr>
          <w:rFonts w:cs="Arial"/>
          <w:color w:val="000000"/>
          <w:szCs w:val="22"/>
          <w:lang w:eastAsia="en-GB"/>
        </w:rPr>
        <w:t xml:space="preserve"> </w:t>
      </w:r>
      <w:r w:rsidR="00B7034F" w:rsidRPr="00583934">
        <w:rPr>
          <w:rFonts w:cs="Arial"/>
          <w:color w:val="000000"/>
          <w:szCs w:val="22"/>
          <w:lang w:eastAsia="en-GB"/>
        </w:rPr>
        <w:t>(ISA)</w:t>
      </w:r>
      <w:r w:rsidR="00B7034F" w:rsidRPr="00E117CC">
        <w:rPr>
          <w:rFonts w:cs="Arial"/>
          <w:color w:val="000000"/>
          <w:szCs w:val="22"/>
          <w:lang w:eastAsia="en-GB"/>
        </w:rPr>
        <w:t xml:space="preserve">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664EFE24" w14:textId="77777777" w:rsidR="00B7034F" w:rsidRPr="00E117CC" w:rsidRDefault="00B7034F" w:rsidP="00B7034F">
      <w:pPr>
        <w:rPr>
          <w:rFonts w:cs="Arial"/>
          <w:color w:val="000000"/>
          <w:szCs w:val="22"/>
          <w:lang w:eastAsia="en-GB"/>
        </w:rPr>
      </w:pPr>
    </w:p>
    <w:p w14:paraId="7F7891E0" w14:textId="5BCCCA83" w:rsidR="00B7034F" w:rsidRPr="008E28FD" w:rsidRDefault="00B7034F" w:rsidP="00B7034F">
      <w:r w:rsidRPr="00E117CC">
        <w:rPr>
          <w:rFonts w:cs="Arial"/>
          <w:color w:val="000000"/>
          <w:szCs w:val="22"/>
          <w:lang w:eastAsia="en-GB"/>
        </w:rPr>
        <w:t xml:space="preserve">The ISP is provided to all parties to support risk mitigation and to provide a consistent approach to managing data flows that </w:t>
      </w:r>
      <w:r w:rsidR="005A04A7">
        <w:rPr>
          <w:rFonts w:cs="Arial"/>
          <w:color w:val="000000"/>
          <w:szCs w:val="22"/>
          <w:lang w:eastAsia="en-GB"/>
        </w:rPr>
        <w:t xml:space="preserve">may be </w:t>
      </w:r>
      <w:r w:rsidRPr="00E117CC">
        <w:rPr>
          <w:rFonts w:cs="Arial"/>
          <w:color w:val="000000"/>
          <w:szCs w:val="22"/>
          <w:lang w:eastAsia="en-GB"/>
        </w:rPr>
        <w:t>routinely occurring.</w:t>
      </w:r>
    </w:p>
    <w:tbl>
      <w:tblPr>
        <w:tblW w:w="5000" w:type="pct"/>
        <w:tblLook w:val="04A0" w:firstRow="1" w:lastRow="0" w:firstColumn="1" w:lastColumn="0" w:noHBand="0" w:noVBand="1"/>
      </w:tblPr>
      <w:tblGrid>
        <w:gridCol w:w="428"/>
        <w:gridCol w:w="40"/>
        <w:gridCol w:w="3926"/>
        <w:gridCol w:w="311"/>
        <w:gridCol w:w="6612"/>
        <w:gridCol w:w="277"/>
        <w:gridCol w:w="3508"/>
        <w:gridCol w:w="296"/>
      </w:tblGrid>
      <w:tr w:rsidR="00B7034F" w:rsidRPr="0049256C" w14:paraId="330B5448" w14:textId="77777777" w:rsidTr="003B0710">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8146AB"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D80F78C" w14:textId="77777777" w:rsidR="00B7034F" w:rsidRPr="0049256C" w:rsidRDefault="00B7034F" w:rsidP="003B0710">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47A57F24"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658BAF65" w14:textId="77777777" w:rsidTr="003B0710">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54AD1D94"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1054A54A"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55B84A" w14:textId="3C896006" w:rsidR="00B7034F" w:rsidRPr="00FA5A29" w:rsidRDefault="00504AE3" w:rsidP="003B0710">
            <w:pPr>
              <w:spacing w:line="240" w:lineRule="auto"/>
              <w:rPr>
                <w:rFonts w:cs="Calibri"/>
                <w:bCs/>
                <w:color w:val="000000"/>
                <w:sz w:val="20"/>
                <w:szCs w:val="20"/>
                <w:lang w:eastAsia="en-GB"/>
              </w:rPr>
            </w:pPr>
            <w:r w:rsidRPr="00504AE3">
              <w:rPr>
                <w:rFonts w:cs="Arial"/>
                <w:color w:val="000000"/>
                <w:szCs w:val="22"/>
                <w:lang w:eastAsia="en-GB"/>
              </w:rPr>
              <w:t>Asylum Seeker Project</w:t>
            </w:r>
          </w:p>
        </w:tc>
      </w:tr>
      <w:tr w:rsidR="00B7034F" w:rsidRPr="0049256C" w14:paraId="56E64DE5" w14:textId="77777777" w:rsidTr="003B0710">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3AD49E97" w14:textId="77777777" w:rsidR="00B7034F" w:rsidRPr="0049256C" w:rsidRDefault="00B7034F" w:rsidP="003B0710">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09D4EC16"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4871CAAE" w14:textId="77777777" w:rsidR="00B7034F" w:rsidRPr="0049256C" w:rsidRDefault="00B7034F" w:rsidP="003B0710">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0794203" w14:textId="77777777" w:rsidR="00B7034F" w:rsidRPr="0049256C" w:rsidRDefault="00B7034F" w:rsidP="003B0710">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B7034F" w:rsidRPr="0049256C" w14:paraId="6540116E" w14:textId="77777777" w:rsidTr="003B0710">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3E1B"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34266B93"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9B11B" w14:textId="77777777" w:rsidR="00B7034F" w:rsidRPr="002B1816" w:rsidRDefault="00B7034F" w:rsidP="002B1816">
            <w:pPr>
              <w:rPr>
                <w:rFonts w:cs="Arial"/>
                <w:sz w:val="20"/>
                <w:szCs w:val="20"/>
              </w:rPr>
            </w:pPr>
          </w:p>
          <w:p w14:paraId="1A34F946" w14:textId="005A3AF8" w:rsidR="00F62369" w:rsidRPr="002B1816" w:rsidRDefault="00B7034F" w:rsidP="002B1816">
            <w:pPr>
              <w:rPr>
                <w:rFonts w:cs="Arial"/>
                <w:sz w:val="20"/>
                <w:szCs w:val="20"/>
              </w:rPr>
            </w:pPr>
            <w:r w:rsidRPr="002B1816">
              <w:rPr>
                <w:rFonts w:cs="Arial"/>
                <w:sz w:val="20"/>
                <w:szCs w:val="20"/>
              </w:rPr>
              <w:t xml:space="preserve">This document provides a formal agreement and associated actions in relation to the sharing of personal and sensitive (special category data) patient data between </w:t>
            </w:r>
            <w:r w:rsidR="00583934">
              <w:rPr>
                <w:rFonts w:cs="Arial"/>
                <w:sz w:val="20"/>
                <w:szCs w:val="20"/>
              </w:rPr>
              <w:t>NNPC</w:t>
            </w:r>
            <w:r w:rsidR="00251D02">
              <w:rPr>
                <w:rFonts w:cs="Arial"/>
                <w:sz w:val="20"/>
                <w:szCs w:val="20"/>
              </w:rPr>
              <w:t xml:space="preserve"> and </w:t>
            </w:r>
            <w:r w:rsidR="00504AE3">
              <w:rPr>
                <w:rFonts w:cs="Arial"/>
                <w:sz w:val="20"/>
                <w:szCs w:val="20"/>
              </w:rPr>
              <w:t>Acle Medical Practice</w:t>
            </w:r>
            <w:r w:rsidR="00F62369" w:rsidRPr="002B1816">
              <w:rPr>
                <w:rFonts w:cs="Arial"/>
                <w:sz w:val="20"/>
                <w:szCs w:val="20"/>
              </w:rPr>
              <w:t>.</w:t>
            </w:r>
          </w:p>
          <w:p w14:paraId="7A2123D9" w14:textId="4BE867DE" w:rsidR="00B7034F" w:rsidRPr="002B1816" w:rsidRDefault="00B7034F" w:rsidP="002B1816">
            <w:pPr>
              <w:rPr>
                <w:rFonts w:cs="Arial"/>
                <w:sz w:val="20"/>
                <w:szCs w:val="20"/>
              </w:rPr>
            </w:pPr>
          </w:p>
          <w:p w14:paraId="42EB8D3D" w14:textId="6196265D" w:rsidR="00504AE3" w:rsidRDefault="002B1816" w:rsidP="00504AE3">
            <w:pPr>
              <w:rPr>
                <w:rFonts w:cs="Arial"/>
                <w:sz w:val="20"/>
                <w:szCs w:val="20"/>
              </w:rPr>
            </w:pPr>
            <w:r w:rsidRPr="002B1816">
              <w:rPr>
                <w:rFonts w:cs="Arial"/>
                <w:sz w:val="20"/>
                <w:szCs w:val="20"/>
              </w:rPr>
              <w:t xml:space="preserve">Due to the </w:t>
            </w:r>
            <w:r w:rsidR="00504AE3">
              <w:rPr>
                <w:rFonts w:cs="Arial"/>
                <w:sz w:val="20"/>
                <w:szCs w:val="20"/>
              </w:rPr>
              <w:t>relocation of 140+ asylum seekers from London to Badersfield, Norfolk there is a need to ensure that these patients are registered with a GP within the local area and that their immediately health care needs are met</w:t>
            </w:r>
            <w:r w:rsidR="00251D02">
              <w:rPr>
                <w:rFonts w:cs="Arial"/>
                <w:sz w:val="20"/>
                <w:szCs w:val="20"/>
              </w:rPr>
              <w:t>.</w:t>
            </w:r>
          </w:p>
          <w:p w14:paraId="76B0D6F0" w14:textId="77777777" w:rsidR="00C55DC6" w:rsidRDefault="00C55DC6" w:rsidP="002B1816">
            <w:pPr>
              <w:rPr>
                <w:rFonts w:cs="Arial"/>
                <w:sz w:val="20"/>
                <w:szCs w:val="20"/>
              </w:rPr>
            </w:pPr>
          </w:p>
          <w:p w14:paraId="4D596A0D" w14:textId="7A46517B" w:rsidR="00C55DC6" w:rsidRDefault="00C55DC6" w:rsidP="002B1816">
            <w:pPr>
              <w:rPr>
                <w:rFonts w:cs="Arial"/>
                <w:sz w:val="20"/>
                <w:szCs w:val="20"/>
              </w:rPr>
            </w:pPr>
            <w:r>
              <w:rPr>
                <w:rFonts w:cs="Arial"/>
                <w:sz w:val="20"/>
                <w:szCs w:val="20"/>
              </w:rPr>
              <w:t>Data Flows;</w:t>
            </w:r>
          </w:p>
          <w:p w14:paraId="1776AE52" w14:textId="355F018F" w:rsidR="00784FD5" w:rsidRDefault="00504AE3" w:rsidP="00C55DC6">
            <w:pPr>
              <w:pStyle w:val="ListParagraph"/>
              <w:numPr>
                <w:ilvl w:val="0"/>
                <w:numId w:val="3"/>
              </w:numPr>
              <w:rPr>
                <w:rFonts w:cs="Arial"/>
                <w:sz w:val="20"/>
                <w:szCs w:val="20"/>
              </w:rPr>
            </w:pPr>
            <w:r>
              <w:rPr>
                <w:rFonts w:cs="Arial"/>
                <w:sz w:val="20"/>
                <w:szCs w:val="20"/>
              </w:rPr>
              <w:t xml:space="preserve">Acle MP were provided with basic information such as Name and DOB of patient by </w:t>
            </w:r>
            <w:r w:rsidR="00A41DCB">
              <w:rPr>
                <w:rFonts w:cs="Arial"/>
                <w:sz w:val="20"/>
                <w:szCs w:val="20"/>
              </w:rPr>
              <w:t>Norfolk</w:t>
            </w:r>
            <w:r>
              <w:rPr>
                <w:rFonts w:cs="Arial"/>
                <w:sz w:val="20"/>
                <w:szCs w:val="20"/>
              </w:rPr>
              <w:t xml:space="preserve"> County Council</w:t>
            </w:r>
          </w:p>
          <w:p w14:paraId="647E0BB6" w14:textId="2C5E5DDF" w:rsidR="00784FD5" w:rsidRDefault="00504AE3" w:rsidP="00C55DC6">
            <w:pPr>
              <w:pStyle w:val="ListParagraph"/>
              <w:numPr>
                <w:ilvl w:val="0"/>
                <w:numId w:val="3"/>
              </w:numPr>
              <w:rPr>
                <w:rFonts w:cs="Arial"/>
                <w:sz w:val="20"/>
                <w:szCs w:val="20"/>
              </w:rPr>
            </w:pPr>
            <w:r>
              <w:rPr>
                <w:rFonts w:cs="Arial"/>
                <w:sz w:val="20"/>
                <w:szCs w:val="20"/>
              </w:rPr>
              <w:t>Acle MP then created registrations for each individual at the practice</w:t>
            </w:r>
          </w:p>
          <w:p w14:paraId="58A33E04" w14:textId="3D764D74" w:rsidR="00C76ADF" w:rsidRDefault="00504AE3" w:rsidP="00C55DC6">
            <w:pPr>
              <w:pStyle w:val="ListParagraph"/>
              <w:numPr>
                <w:ilvl w:val="0"/>
                <w:numId w:val="3"/>
              </w:numPr>
              <w:rPr>
                <w:rFonts w:cs="Arial"/>
                <w:sz w:val="20"/>
                <w:szCs w:val="20"/>
              </w:rPr>
            </w:pPr>
            <w:r>
              <w:rPr>
                <w:rFonts w:cs="Arial"/>
                <w:sz w:val="20"/>
                <w:szCs w:val="20"/>
              </w:rPr>
              <w:t>NNPC are provided with direct access to the patients within EMIS</w:t>
            </w:r>
          </w:p>
          <w:p w14:paraId="7E862039" w14:textId="29290BB2" w:rsidR="00504AE3" w:rsidRDefault="00504AE3" w:rsidP="00C55DC6">
            <w:pPr>
              <w:pStyle w:val="ListParagraph"/>
              <w:numPr>
                <w:ilvl w:val="0"/>
                <w:numId w:val="3"/>
              </w:numPr>
              <w:rPr>
                <w:rFonts w:cs="Arial"/>
                <w:sz w:val="20"/>
                <w:szCs w:val="20"/>
              </w:rPr>
            </w:pPr>
            <w:r>
              <w:rPr>
                <w:rFonts w:cs="Arial"/>
                <w:sz w:val="20"/>
                <w:szCs w:val="20"/>
              </w:rPr>
              <w:t>On arrival at the site, the NNPC clinician will identify patients in need of a consultation</w:t>
            </w:r>
          </w:p>
          <w:p w14:paraId="26B26CA1" w14:textId="609E8B16" w:rsidR="00504AE3" w:rsidRDefault="00504AE3" w:rsidP="00C55DC6">
            <w:pPr>
              <w:pStyle w:val="ListParagraph"/>
              <w:numPr>
                <w:ilvl w:val="0"/>
                <w:numId w:val="3"/>
              </w:numPr>
              <w:rPr>
                <w:rFonts w:cs="Arial"/>
                <w:sz w:val="20"/>
                <w:szCs w:val="20"/>
              </w:rPr>
            </w:pPr>
            <w:r>
              <w:rPr>
                <w:rFonts w:cs="Arial"/>
                <w:sz w:val="20"/>
                <w:szCs w:val="20"/>
              </w:rPr>
              <w:t xml:space="preserve">NNPC clinician will access EMIS and </w:t>
            </w:r>
            <w:r w:rsidR="00A41DCB">
              <w:rPr>
                <w:rFonts w:cs="Arial"/>
                <w:sz w:val="20"/>
                <w:szCs w:val="20"/>
              </w:rPr>
              <w:t>ICE</w:t>
            </w:r>
            <w:r>
              <w:rPr>
                <w:rFonts w:cs="Arial"/>
                <w:sz w:val="20"/>
                <w:szCs w:val="20"/>
              </w:rPr>
              <w:t xml:space="preserve"> to facilitate the consultation</w:t>
            </w:r>
          </w:p>
          <w:p w14:paraId="1BB69B11" w14:textId="71239A54" w:rsidR="00A41DCB" w:rsidRDefault="00A41DCB" w:rsidP="00C55DC6">
            <w:pPr>
              <w:pStyle w:val="ListParagraph"/>
              <w:numPr>
                <w:ilvl w:val="0"/>
                <w:numId w:val="3"/>
              </w:numPr>
              <w:rPr>
                <w:rFonts w:cs="Arial"/>
                <w:sz w:val="20"/>
                <w:szCs w:val="20"/>
              </w:rPr>
            </w:pPr>
            <w:r>
              <w:rPr>
                <w:rFonts w:cs="Arial"/>
                <w:sz w:val="20"/>
                <w:szCs w:val="20"/>
              </w:rPr>
              <w:t>NCC will facilitate the Asylum Seekers Health Screening (taking basic health status information)</w:t>
            </w:r>
          </w:p>
          <w:p w14:paraId="7DE47D1A" w14:textId="42A0D620" w:rsidR="00A41DCB" w:rsidRDefault="00A41DCB" w:rsidP="00C55DC6">
            <w:pPr>
              <w:pStyle w:val="ListParagraph"/>
              <w:numPr>
                <w:ilvl w:val="0"/>
                <w:numId w:val="3"/>
              </w:numPr>
              <w:rPr>
                <w:rFonts w:cs="Arial"/>
                <w:sz w:val="20"/>
                <w:szCs w:val="20"/>
              </w:rPr>
            </w:pPr>
            <w:r>
              <w:rPr>
                <w:rFonts w:cs="Arial"/>
                <w:sz w:val="20"/>
                <w:szCs w:val="20"/>
              </w:rPr>
              <w:t>This will be added straight to the GP record (Template to be created)</w:t>
            </w:r>
          </w:p>
          <w:p w14:paraId="1A0FC884" w14:textId="77777777" w:rsidR="00110A80" w:rsidRDefault="00110A80" w:rsidP="00C76ADF">
            <w:pPr>
              <w:pStyle w:val="ListParagraph"/>
              <w:rPr>
                <w:rFonts w:cs="Arial"/>
                <w:sz w:val="20"/>
                <w:szCs w:val="20"/>
              </w:rPr>
            </w:pPr>
          </w:p>
          <w:p w14:paraId="26DDF876" w14:textId="669E2C8D" w:rsidR="002563FD" w:rsidRPr="002563FD" w:rsidRDefault="002563FD" w:rsidP="00C17D18">
            <w:pPr>
              <w:rPr>
                <w:rFonts w:cs="Arial"/>
                <w:sz w:val="20"/>
                <w:szCs w:val="20"/>
              </w:rPr>
            </w:pPr>
          </w:p>
        </w:tc>
        <w:tc>
          <w:tcPr>
            <w:tcW w:w="96" w:type="pct"/>
            <w:tcBorders>
              <w:top w:val="nil"/>
              <w:left w:val="nil"/>
              <w:bottom w:val="nil"/>
              <w:right w:val="nil"/>
            </w:tcBorders>
            <w:shd w:val="clear" w:color="000000" w:fill="FFFFFF"/>
            <w:vAlign w:val="bottom"/>
            <w:hideMark/>
          </w:tcPr>
          <w:p w14:paraId="2C91824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0AB65175" w14:textId="77777777" w:rsidTr="003B0710">
        <w:trPr>
          <w:trHeight w:val="88"/>
        </w:trPr>
        <w:tc>
          <w:tcPr>
            <w:tcW w:w="1427" w:type="pct"/>
            <w:gridSpan w:val="3"/>
            <w:tcBorders>
              <w:top w:val="nil"/>
              <w:left w:val="nil"/>
              <w:bottom w:val="single" w:sz="4" w:space="0" w:color="auto"/>
              <w:right w:val="nil"/>
            </w:tcBorders>
            <w:shd w:val="clear" w:color="000000" w:fill="FFFFFF"/>
            <w:vAlign w:val="center"/>
            <w:hideMark/>
          </w:tcPr>
          <w:p w14:paraId="65E9A886"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FF31311"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B2F4CB7"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209EE4A5" w14:textId="77777777" w:rsidR="00B7034F" w:rsidRPr="0049256C" w:rsidRDefault="00B7034F" w:rsidP="003B0710">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B7034F" w:rsidRPr="0049256C" w14:paraId="78083921" w14:textId="77777777" w:rsidTr="003B0710">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0F5F9BDF"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61EB6D7C"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271420" w14:textId="77777777" w:rsidR="00F902BE" w:rsidRDefault="00F902BE" w:rsidP="00F902BE">
            <w:pPr>
              <w:rPr>
                <w:rFonts w:cs="Arial"/>
                <w:sz w:val="20"/>
                <w:szCs w:val="20"/>
              </w:rPr>
            </w:pPr>
          </w:p>
          <w:p w14:paraId="245D2E71" w14:textId="47D7ABED" w:rsidR="00C17D18" w:rsidRDefault="00A41DCB" w:rsidP="009077A9">
            <w:pPr>
              <w:spacing w:after="160" w:line="259" w:lineRule="auto"/>
              <w:rPr>
                <w:rFonts w:cs="Arial"/>
                <w:sz w:val="20"/>
                <w:szCs w:val="20"/>
              </w:rPr>
            </w:pPr>
            <w:r>
              <w:rPr>
                <w:rFonts w:cs="Arial"/>
                <w:sz w:val="20"/>
                <w:szCs w:val="20"/>
              </w:rPr>
              <w:t>Individual consultation disclosures and collection of data will vary according to the needs of the patient</w:t>
            </w:r>
          </w:p>
          <w:p w14:paraId="37EB858E" w14:textId="00CBC931" w:rsidR="00A41DCB" w:rsidRDefault="00A41DCB" w:rsidP="009077A9">
            <w:pPr>
              <w:spacing w:after="160" w:line="259" w:lineRule="auto"/>
              <w:rPr>
                <w:rFonts w:cs="Arial"/>
                <w:sz w:val="20"/>
                <w:szCs w:val="20"/>
              </w:rPr>
            </w:pPr>
            <w:r>
              <w:rPr>
                <w:rFonts w:cs="Arial"/>
                <w:sz w:val="20"/>
                <w:szCs w:val="20"/>
              </w:rPr>
              <w:t>Asylum Seekers Health Screening data collection is determined by the Home Office</w:t>
            </w:r>
          </w:p>
          <w:p w14:paraId="6078047F" w14:textId="77777777" w:rsidR="008B0146" w:rsidRDefault="00A41DCB" w:rsidP="00C2147F">
            <w:pPr>
              <w:spacing w:after="160" w:line="259" w:lineRule="auto"/>
              <w:rPr>
                <w:rFonts w:cs="Arial"/>
                <w:sz w:val="20"/>
                <w:szCs w:val="20"/>
              </w:rPr>
            </w:pPr>
            <w:r>
              <w:rPr>
                <w:rFonts w:cs="Arial"/>
                <w:sz w:val="20"/>
                <w:szCs w:val="20"/>
              </w:rPr>
              <w:t xml:space="preserve">NNPC will make requests for investigations on onward care as appropriate (using minimum necessary principles) via the GP system </w:t>
            </w:r>
          </w:p>
          <w:p w14:paraId="5E31E742" w14:textId="507A2B23" w:rsidR="00A41DCB" w:rsidRPr="00C2147F" w:rsidRDefault="00A41DCB" w:rsidP="00C2147F">
            <w:pPr>
              <w:spacing w:after="160" w:line="259" w:lineRule="auto"/>
              <w:rPr>
                <w:rFonts w:cs="Arial"/>
                <w:sz w:val="20"/>
                <w:szCs w:val="20"/>
              </w:rPr>
            </w:pPr>
            <w:r>
              <w:rPr>
                <w:rFonts w:cs="Arial"/>
                <w:sz w:val="20"/>
                <w:szCs w:val="20"/>
              </w:rPr>
              <w:t>Any aggregated reports required for the CCG will be run by Acle MC and provided to NNPC</w:t>
            </w:r>
          </w:p>
        </w:tc>
        <w:tc>
          <w:tcPr>
            <w:tcW w:w="96" w:type="pct"/>
            <w:tcBorders>
              <w:top w:val="nil"/>
              <w:left w:val="nil"/>
              <w:bottom w:val="nil"/>
              <w:right w:val="nil"/>
            </w:tcBorders>
            <w:shd w:val="clear" w:color="000000" w:fill="FFFFFF"/>
            <w:vAlign w:val="bottom"/>
            <w:hideMark/>
          </w:tcPr>
          <w:p w14:paraId="3B81A79E"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DEF390A" w14:textId="77777777" w:rsidTr="003B0710">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6E8493E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6F2C15DB"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094F7144" w14:textId="77777777" w:rsidR="00B7034F" w:rsidRPr="00162A47" w:rsidRDefault="00B7034F" w:rsidP="003B0710">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47B8F72C"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1CDF122F" w14:textId="77777777" w:rsidTr="003B0710">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6BF73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31F8F1B9"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C94D40" w14:textId="6B838814" w:rsidR="00CF3C11" w:rsidRDefault="00A41DCB" w:rsidP="00C2147F">
            <w:pPr>
              <w:jc w:val="center"/>
              <w:rPr>
                <w:rFonts w:cs="Arial"/>
                <w:sz w:val="20"/>
                <w:szCs w:val="20"/>
              </w:rPr>
            </w:pPr>
            <w:r>
              <w:rPr>
                <w:rFonts w:cs="Arial"/>
                <w:sz w:val="20"/>
                <w:szCs w:val="20"/>
              </w:rPr>
              <w:t>EMIS / NHS Mail</w:t>
            </w:r>
          </w:p>
          <w:p w14:paraId="5C3A0218" w14:textId="77777777" w:rsidR="00B7034F" w:rsidRPr="000F0BBD" w:rsidRDefault="00B7034F" w:rsidP="003C27E3">
            <w:pPr>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386F3207"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7E5C4D8F"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94E2C"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29C8B132"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42A262" w14:textId="300858B5" w:rsidR="00B7034F" w:rsidRPr="000F0BBD" w:rsidRDefault="00B7034F" w:rsidP="003B0710">
            <w:pPr>
              <w:spacing w:line="240" w:lineRule="auto"/>
              <w:jc w:val="center"/>
              <w:rPr>
                <w:rFonts w:cs="Calibri"/>
                <w:color w:val="000000"/>
                <w:sz w:val="20"/>
                <w:szCs w:val="20"/>
                <w:lang w:eastAsia="en-GB"/>
              </w:rPr>
            </w:pPr>
          </w:p>
        </w:tc>
      </w:tr>
      <w:tr w:rsidR="00B7034F" w:rsidRPr="0049256C" w14:paraId="017B20FE"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36185D7D"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5FC745AC"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8B956" w14:textId="4651EA75" w:rsidR="00B7034F" w:rsidRDefault="00B7034F" w:rsidP="003B0710">
            <w:pPr>
              <w:spacing w:line="240" w:lineRule="auto"/>
              <w:jc w:val="center"/>
              <w:rPr>
                <w:rFonts w:cs="Calibri"/>
                <w:color w:val="000000"/>
                <w:sz w:val="20"/>
                <w:szCs w:val="20"/>
                <w:lang w:eastAsia="en-GB"/>
              </w:rPr>
            </w:pPr>
          </w:p>
        </w:tc>
      </w:tr>
      <w:tr w:rsidR="00B7034F" w:rsidRPr="0049256C" w14:paraId="4C900632" w14:textId="77777777" w:rsidTr="003B0710">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6BAD506A" w14:textId="77777777" w:rsidR="00B7034F" w:rsidRPr="009A6EAE" w:rsidRDefault="00B7034F" w:rsidP="003B0710">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72F2EFC9"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6CE5F25F"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2BE39A66" w14:textId="77777777" w:rsidTr="00A41DCB">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C4A845B"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61C468E1"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034697" w14:textId="0DD084BA" w:rsidR="00FC7E2F" w:rsidRDefault="00A41DCB" w:rsidP="00A41DCB">
            <w:pPr>
              <w:spacing w:line="240" w:lineRule="auto"/>
              <w:jc w:val="center"/>
              <w:rPr>
                <w:rFonts w:cs="Calibri"/>
                <w:color w:val="000000"/>
                <w:sz w:val="20"/>
                <w:szCs w:val="20"/>
                <w:lang w:eastAsia="en-GB"/>
              </w:rPr>
            </w:pPr>
            <w:r>
              <w:rPr>
                <w:rFonts w:cs="Calibri"/>
                <w:color w:val="000000"/>
                <w:sz w:val="20"/>
                <w:szCs w:val="20"/>
                <w:lang w:eastAsia="en-GB"/>
              </w:rPr>
              <w:t>Data will reside within the clinical system</w:t>
            </w:r>
          </w:p>
          <w:p w14:paraId="4296BD29" w14:textId="63DF4E55" w:rsidR="00FC7E2F" w:rsidRPr="000F0BBD" w:rsidRDefault="00FC7E2F" w:rsidP="00A41DCB">
            <w:pPr>
              <w:spacing w:line="240" w:lineRule="auto"/>
              <w:jc w:val="center"/>
              <w:rPr>
                <w:rFonts w:cs="Calibri"/>
                <w:color w:val="000000"/>
                <w:sz w:val="20"/>
                <w:szCs w:val="20"/>
                <w:lang w:eastAsia="en-GB"/>
              </w:rPr>
            </w:pPr>
          </w:p>
        </w:tc>
      </w:tr>
      <w:tr w:rsidR="00B7034F" w:rsidRPr="0049256C" w14:paraId="518E9E2E" w14:textId="77777777" w:rsidTr="003B0710">
        <w:trPr>
          <w:gridAfter w:val="7"/>
          <w:wAfter w:w="4861" w:type="pct"/>
          <w:trHeight w:val="503"/>
        </w:trPr>
        <w:tc>
          <w:tcPr>
            <w:tcW w:w="139" w:type="pct"/>
            <w:tcBorders>
              <w:top w:val="nil"/>
              <w:left w:val="nil"/>
              <w:bottom w:val="nil"/>
              <w:right w:val="nil"/>
            </w:tcBorders>
            <w:shd w:val="clear" w:color="000000" w:fill="FFFFFF"/>
            <w:vAlign w:val="center"/>
            <w:hideMark/>
          </w:tcPr>
          <w:p w14:paraId="55A6FFFD" w14:textId="77777777" w:rsidR="00B7034F" w:rsidRPr="007E795B" w:rsidRDefault="00B7034F" w:rsidP="003B0710">
            <w:pPr>
              <w:spacing w:line="240" w:lineRule="auto"/>
              <w:jc w:val="center"/>
              <w:rPr>
                <w:rFonts w:cs="Calibri"/>
                <w:color w:val="000000"/>
                <w:sz w:val="4"/>
                <w:szCs w:val="4"/>
                <w:lang w:eastAsia="en-GB"/>
              </w:rPr>
            </w:pPr>
          </w:p>
          <w:p w14:paraId="02B76AF3" w14:textId="77777777" w:rsidR="00B7034F" w:rsidRPr="007E795B" w:rsidRDefault="00B7034F" w:rsidP="003B0710">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B7034F" w:rsidRPr="0049256C" w14:paraId="01C8E422"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67572380" w14:textId="77777777" w:rsidR="00B7034F" w:rsidRPr="0049256C"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4F9DFB6"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80668" w14:textId="77777777" w:rsidR="00B7034F" w:rsidRPr="00D4670D" w:rsidRDefault="00B7034F" w:rsidP="003B0710">
            <w:pPr>
              <w:spacing w:line="240" w:lineRule="auto"/>
              <w:rPr>
                <w:rFonts w:cs="Calibri"/>
                <w:color w:val="000000"/>
                <w:sz w:val="10"/>
                <w:szCs w:val="10"/>
                <w:lang w:eastAsia="en-GB"/>
              </w:rPr>
            </w:pPr>
          </w:p>
          <w:p w14:paraId="3F294711" w14:textId="4C91EECD" w:rsidR="003C2611" w:rsidRDefault="00A41DCB" w:rsidP="003C2611">
            <w:pPr>
              <w:spacing w:after="160" w:line="259" w:lineRule="auto"/>
              <w:jc w:val="center"/>
              <w:rPr>
                <w:rFonts w:eastAsia="Calibri" w:cs="Arial"/>
                <w:sz w:val="20"/>
                <w:szCs w:val="20"/>
              </w:rPr>
            </w:pPr>
            <w:r>
              <w:rPr>
                <w:rFonts w:eastAsia="Calibri" w:cs="Arial"/>
                <w:sz w:val="20"/>
                <w:szCs w:val="20"/>
              </w:rPr>
              <w:t>Any data collected will be added to the Acle MC health record</w:t>
            </w:r>
          </w:p>
          <w:p w14:paraId="360647E5" w14:textId="77777777" w:rsidR="00B7034F" w:rsidRPr="00D4670D" w:rsidRDefault="00B7034F" w:rsidP="003B0710">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2A00F522"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971899C" w14:textId="77777777" w:rsidTr="003B0710">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12E4AA78" w14:textId="77777777" w:rsidR="00B7034F" w:rsidRPr="0049256C" w:rsidRDefault="00B7034F" w:rsidP="003B0710">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696C8753"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39061CF" w14:textId="77777777" w:rsidR="00B7034F" w:rsidRDefault="00B7034F" w:rsidP="003B0710">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5504EFD4"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FA1B3FC"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8E73C"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778BC029"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57DD28" w14:textId="77777777" w:rsidR="00B7034F" w:rsidRPr="003869B3" w:rsidRDefault="00B7034F" w:rsidP="003B0710">
            <w:pPr>
              <w:spacing w:line="240" w:lineRule="auto"/>
              <w:rPr>
                <w:rFonts w:cs="Calibri"/>
                <w:color w:val="000000"/>
                <w:sz w:val="20"/>
                <w:szCs w:val="20"/>
                <w:lang w:eastAsia="en-GB"/>
              </w:rPr>
            </w:pPr>
          </w:p>
          <w:p w14:paraId="10CC0F8A" w14:textId="1798839B"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 xml:space="preserve">The process will involve sharing information </w:t>
            </w:r>
            <w:r w:rsidR="00FA0E1C">
              <w:rPr>
                <w:rFonts w:cs="Calibri"/>
                <w:color w:val="000000"/>
                <w:sz w:val="20"/>
                <w:szCs w:val="20"/>
                <w:lang w:eastAsia="en-GB"/>
              </w:rPr>
              <w:t>between joint controllers</w:t>
            </w:r>
            <w:r>
              <w:rPr>
                <w:rFonts w:cs="Calibri"/>
                <w:color w:val="000000"/>
                <w:sz w:val="20"/>
                <w:szCs w:val="20"/>
                <w:lang w:eastAsia="en-GB"/>
              </w:rPr>
              <w:t>.</w:t>
            </w:r>
          </w:p>
          <w:p w14:paraId="788181EA" w14:textId="131F8BDB" w:rsidR="00B7034F" w:rsidRDefault="00FA0E1C" w:rsidP="00CF3C11">
            <w:pPr>
              <w:shd w:val="clear" w:color="auto" w:fill="D9E2F3" w:themeFill="accent1" w:themeFillTint="33"/>
              <w:spacing w:before="240" w:after="240"/>
              <w:jc w:val="center"/>
              <w:textAlignment w:val="baseline"/>
              <w:rPr>
                <w:rFonts w:cs="Calibri"/>
                <w:color w:val="000000"/>
                <w:sz w:val="20"/>
                <w:szCs w:val="20"/>
                <w:lang w:eastAsia="en-GB"/>
              </w:rPr>
            </w:pPr>
            <w:r>
              <w:rPr>
                <w:rFonts w:cs="Calibri"/>
                <w:color w:val="000000"/>
                <w:sz w:val="20"/>
                <w:szCs w:val="20"/>
                <w:lang w:eastAsia="en-GB"/>
              </w:rPr>
              <w:t>Joint and Several Responsibility is as follows;</w:t>
            </w:r>
          </w:p>
          <w:p w14:paraId="47732BC7" w14:textId="77777777" w:rsidR="003869B3" w:rsidRPr="003869B3" w:rsidRDefault="003869B3" w:rsidP="003869B3">
            <w:pPr>
              <w:pStyle w:val="ListParagraph"/>
              <w:numPr>
                <w:ilvl w:val="0"/>
                <w:numId w:val="8"/>
              </w:numPr>
              <w:spacing w:after="160"/>
              <w:ind w:left="714" w:hanging="357"/>
              <w:rPr>
                <w:rFonts w:cs="Calibri"/>
                <w:color w:val="000000"/>
                <w:sz w:val="20"/>
                <w:szCs w:val="20"/>
                <w:lang w:eastAsia="en-GB"/>
              </w:rPr>
            </w:pPr>
            <w:r w:rsidRPr="003869B3">
              <w:rPr>
                <w:rFonts w:cs="Calibri"/>
                <w:color w:val="000000"/>
                <w:sz w:val="20"/>
                <w:szCs w:val="20"/>
                <w:lang w:eastAsia="en-GB"/>
              </w:rPr>
              <w:t>At the point that data is collected from the patient at the Badersfield site, NNPC are the sole Data Controller and are individually responsible for its protection</w:t>
            </w:r>
          </w:p>
          <w:p w14:paraId="28633CF9" w14:textId="77777777" w:rsidR="003869B3" w:rsidRPr="003869B3" w:rsidRDefault="003869B3" w:rsidP="003869B3">
            <w:pPr>
              <w:pStyle w:val="ListParagraph"/>
              <w:numPr>
                <w:ilvl w:val="0"/>
                <w:numId w:val="8"/>
              </w:numPr>
              <w:spacing w:after="160"/>
              <w:ind w:left="714" w:hanging="357"/>
              <w:rPr>
                <w:rFonts w:cs="Calibri"/>
                <w:color w:val="000000"/>
                <w:sz w:val="20"/>
                <w:szCs w:val="20"/>
                <w:lang w:eastAsia="en-GB"/>
              </w:rPr>
            </w:pPr>
            <w:r w:rsidRPr="003869B3">
              <w:rPr>
                <w:rFonts w:cs="Calibri"/>
                <w:color w:val="000000"/>
                <w:sz w:val="20"/>
                <w:szCs w:val="20"/>
                <w:lang w:eastAsia="en-GB"/>
              </w:rPr>
              <w:lastRenderedPageBreak/>
              <w:t>At the point that the data is entered into the EMIS record by the NNPC clinician, NNPC and Acle Medical Practice become jointly responsible for the protection of the personal data. Both parties shall ensure the data is accessed appropriately.</w:t>
            </w:r>
          </w:p>
          <w:p w14:paraId="0226E178" w14:textId="77777777" w:rsidR="003869B3" w:rsidRPr="003869B3" w:rsidRDefault="003869B3" w:rsidP="003869B3">
            <w:pPr>
              <w:pStyle w:val="ListParagraph"/>
              <w:numPr>
                <w:ilvl w:val="0"/>
                <w:numId w:val="8"/>
              </w:numPr>
              <w:spacing w:after="160"/>
              <w:ind w:left="714" w:hanging="357"/>
              <w:rPr>
                <w:rFonts w:cs="Calibri"/>
                <w:color w:val="000000"/>
                <w:sz w:val="20"/>
                <w:szCs w:val="20"/>
                <w:lang w:eastAsia="en-GB"/>
              </w:rPr>
            </w:pPr>
            <w:r w:rsidRPr="003869B3">
              <w:rPr>
                <w:rFonts w:cs="Calibri"/>
                <w:color w:val="000000"/>
                <w:sz w:val="20"/>
                <w:szCs w:val="20"/>
                <w:lang w:eastAsia="en-GB"/>
              </w:rPr>
              <w:t>At the point that the Asylum Seeker project is terminated and a ‘business as usual’ approach is adopted, no longer requiring intervention from NNPC clinicians, the data entered into the system by virtue of this project will become the sole responsibility of Acle Medical Practice who will assume individual responsibility for its protection and maintenance.</w:t>
            </w:r>
          </w:p>
          <w:p w14:paraId="08968A47" w14:textId="70A802D4" w:rsidR="00FA0E1C" w:rsidRPr="009A6EAE" w:rsidRDefault="00FA0E1C" w:rsidP="00CF3C11">
            <w:pPr>
              <w:shd w:val="clear" w:color="auto" w:fill="D9E2F3" w:themeFill="accent1" w:themeFillTint="33"/>
              <w:spacing w:before="240" w:after="240"/>
              <w:jc w:val="center"/>
              <w:textAlignment w:val="baseline"/>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12436C62"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11D9D592" w14:textId="77777777" w:rsidTr="003B0710">
        <w:trPr>
          <w:trHeight w:val="361"/>
        </w:trPr>
        <w:tc>
          <w:tcPr>
            <w:tcW w:w="1427" w:type="pct"/>
            <w:gridSpan w:val="3"/>
            <w:tcBorders>
              <w:top w:val="single" w:sz="4" w:space="0" w:color="auto"/>
              <w:bottom w:val="single" w:sz="4" w:space="0" w:color="auto"/>
            </w:tcBorders>
            <w:shd w:val="clear" w:color="000000" w:fill="FFFFFF"/>
            <w:noWrap/>
            <w:vAlign w:val="center"/>
            <w:hideMark/>
          </w:tcPr>
          <w:p w14:paraId="39828FDB"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60D59F12"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7E445F8F" w14:textId="77777777" w:rsidR="00B7034F" w:rsidRPr="009A6EAE" w:rsidRDefault="00B7034F" w:rsidP="003B0710">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012F1F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9A6EAE" w14:paraId="2FC597C8"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2FC08"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5AEBAF5F"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3C214"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948B0" w14:textId="77777777" w:rsidR="00B7034F" w:rsidRPr="001B4257" w:rsidRDefault="00B7034F" w:rsidP="003B0710">
            <w:pPr>
              <w:spacing w:line="240" w:lineRule="auto"/>
              <w:jc w:val="center"/>
              <w:rPr>
                <w:rFonts w:cs="Calibri"/>
                <w:color w:val="000000"/>
                <w:sz w:val="10"/>
                <w:szCs w:val="10"/>
                <w:lang w:eastAsia="en-GB"/>
              </w:rPr>
            </w:pPr>
          </w:p>
          <w:p w14:paraId="57D67675" w14:textId="3EE9E8B4" w:rsidR="00B7034F" w:rsidRDefault="00B7034F" w:rsidP="003B0710">
            <w:pPr>
              <w:spacing w:line="240" w:lineRule="auto"/>
              <w:jc w:val="center"/>
              <w:rPr>
                <w:rFonts w:cs="Calibri"/>
                <w:color w:val="000000"/>
                <w:sz w:val="20"/>
                <w:szCs w:val="20"/>
                <w:lang w:eastAsia="en-GB"/>
              </w:rPr>
            </w:pPr>
            <w:r w:rsidRPr="001B4257">
              <w:rPr>
                <w:rFonts w:cs="Calibri"/>
                <w:color w:val="000000"/>
                <w:sz w:val="20"/>
                <w:szCs w:val="20"/>
                <w:lang w:eastAsia="en-GB"/>
              </w:rPr>
              <w:t xml:space="preserve">In order to satisfy the common law duty of confidentiality and the data protection legislation “right to be informed” there is a requirement to ensure that </w:t>
            </w:r>
            <w:r w:rsidR="00A41DCB">
              <w:rPr>
                <w:rFonts w:cs="Calibri"/>
                <w:color w:val="000000"/>
                <w:sz w:val="20"/>
                <w:szCs w:val="20"/>
                <w:lang w:eastAsia="en-GB"/>
              </w:rPr>
              <w:t xml:space="preserve">patients </w:t>
            </w:r>
            <w:r w:rsidRPr="001B4257">
              <w:rPr>
                <w:rFonts w:cs="Calibri"/>
                <w:color w:val="000000"/>
                <w:sz w:val="20"/>
                <w:szCs w:val="20"/>
                <w:lang w:eastAsia="en-GB"/>
              </w:rPr>
              <w:t>are provided with sufficient information.</w:t>
            </w:r>
            <w:r>
              <w:rPr>
                <w:rFonts w:cs="Calibri"/>
                <w:color w:val="000000"/>
                <w:sz w:val="20"/>
                <w:szCs w:val="20"/>
                <w:lang w:eastAsia="en-GB"/>
              </w:rPr>
              <w:t xml:space="preserve"> Individuals must “reasonably expect” disclosures of their confidential information.</w:t>
            </w:r>
          </w:p>
          <w:p w14:paraId="598B3D58" w14:textId="77777777" w:rsidR="00B7034F" w:rsidRPr="001B4257" w:rsidRDefault="00B7034F" w:rsidP="003B0710">
            <w:pPr>
              <w:spacing w:line="240" w:lineRule="auto"/>
              <w:jc w:val="center"/>
              <w:rPr>
                <w:sz w:val="20"/>
                <w:szCs w:val="20"/>
              </w:rPr>
            </w:pPr>
          </w:p>
          <w:p w14:paraId="0F8DBF6C" w14:textId="0526317C" w:rsidR="00A41DCB" w:rsidRDefault="00A41DCB" w:rsidP="00A41DCB">
            <w:pPr>
              <w:spacing w:line="240" w:lineRule="auto"/>
              <w:jc w:val="center"/>
              <w:rPr>
                <w:sz w:val="20"/>
                <w:szCs w:val="20"/>
              </w:rPr>
            </w:pPr>
            <w:r>
              <w:rPr>
                <w:sz w:val="20"/>
                <w:szCs w:val="20"/>
              </w:rPr>
              <w:t>NCC are supporting with a translation service so that patients can understand the process.</w:t>
            </w:r>
          </w:p>
          <w:p w14:paraId="25452569" w14:textId="4137D654" w:rsidR="00A41DCB" w:rsidRDefault="006F1705" w:rsidP="00A41DCB">
            <w:pPr>
              <w:spacing w:line="240" w:lineRule="auto"/>
              <w:jc w:val="center"/>
              <w:rPr>
                <w:sz w:val="20"/>
                <w:szCs w:val="20"/>
              </w:rPr>
            </w:pPr>
            <w:r>
              <w:rPr>
                <w:sz w:val="20"/>
                <w:szCs w:val="20"/>
              </w:rPr>
              <w:t xml:space="preserve">Patients </w:t>
            </w:r>
            <w:r w:rsidRPr="006F1705">
              <w:rPr>
                <w:b/>
                <w:bCs/>
                <w:i/>
                <w:iCs/>
                <w:sz w:val="20"/>
                <w:szCs w:val="20"/>
              </w:rPr>
              <w:t>must</w:t>
            </w:r>
            <w:r>
              <w:rPr>
                <w:sz w:val="20"/>
                <w:szCs w:val="20"/>
              </w:rPr>
              <w:t xml:space="preserve"> be provided with </w:t>
            </w:r>
            <w:r w:rsidR="00A41DCB">
              <w:rPr>
                <w:sz w:val="20"/>
                <w:szCs w:val="20"/>
              </w:rPr>
              <w:t xml:space="preserve">a leaflet privacy notice so that </w:t>
            </w:r>
            <w:r>
              <w:rPr>
                <w:sz w:val="20"/>
                <w:szCs w:val="20"/>
              </w:rPr>
              <w:t>they</w:t>
            </w:r>
            <w:r w:rsidR="00A41DCB">
              <w:rPr>
                <w:sz w:val="20"/>
                <w:szCs w:val="20"/>
              </w:rPr>
              <w:t xml:space="preserve"> are made aware of their information rights and any disclosures.</w:t>
            </w:r>
          </w:p>
          <w:p w14:paraId="71527E57" w14:textId="77777777" w:rsidR="00B7034F" w:rsidRDefault="00B7034F" w:rsidP="00B67D98">
            <w:pPr>
              <w:spacing w:line="240" w:lineRule="auto"/>
              <w:rPr>
                <w:sz w:val="20"/>
                <w:szCs w:val="20"/>
              </w:rPr>
            </w:pPr>
          </w:p>
          <w:p w14:paraId="04C5B536" w14:textId="77777777" w:rsidR="00B7034F" w:rsidRPr="001B4257" w:rsidRDefault="00B7034F" w:rsidP="003B0710">
            <w:pPr>
              <w:spacing w:line="240" w:lineRule="auto"/>
              <w:jc w:val="center"/>
              <w:rPr>
                <w:b/>
                <w:sz w:val="10"/>
                <w:szCs w:val="10"/>
              </w:rPr>
            </w:pPr>
          </w:p>
        </w:tc>
      </w:tr>
      <w:tr w:rsidR="00B7034F" w:rsidRPr="009A6EAE" w14:paraId="74FC93DA"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A5CB237" w14:textId="77777777" w:rsidR="00B7034F" w:rsidRDefault="00B7034F" w:rsidP="003B0710">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12DCAA9"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34C497B4" w14:textId="77777777" w:rsidR="00B7034F" w:rsidRPr="001B4257" w:rsidRDefault="00B7034F" w:rsidP="003B0710">
            <w:pPr>
              <w:spacing w:line="240" w:lineRule="auto"/>
              <w:jc w:val="center"/>
              <w:rPr>
                <w:rFonts w:cs="Calibri"/>
                <w:color w:val="000000"/>
                <w:sz w:val="10"/>
                <w:szCs w:val="10"/>
                <w:lang w:eastAsia="en-GB"/>
              </w:rPr>
            </w:pPr>
          </w:p>
        </w:tc>
      </w:tr>
      <w:tr w:rsidR="00B7034F" w:rsidRPr="009A6EAE" w14:paraId="30802F22"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C10CA2" w14:textId="77777777" w:rsidR="00B7034F" w:rsidRDefault="00B7034F" w:rsidP="003B0710">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410E4ED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331E" w14:textId="77777777" w:rsidR="00B7034F" w:rsidRPr="001B4257" w:rsidRDefault="00B7034F" w:rsidP="003B0710">
            <w:pPr>
              <w:spacing w:line="240" w:lineRule="auto"/>
              <w:jc w:val="center"/>
              <w:rPr>
                <w:rFonts w:cs="Calibri"/>
                <w:color w:val="000000"/>
                <w:sz w:val="10"/>
                <w:szCs w:val="10"/>
                <w:lang w:eastAsia="en-GB"/>
              </w:rPr>
            </w:pPr>
          </w:p>
          <w:p w14:paraId="78FCFBC2"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1C5336F7" w14:textId="3661FAF2" w:rsidR="00B7034F" w:rsidRDefault="00B7034F" w:rsidP="003B0710">
            <w:pPr>
              <w:spacing w:line="240" w:lineRule="auto"/>
              <w:jc w:val="both"/>
              <w:rPr>
                <w:rFonts w:cs="Calibri"/>
                <w:color w:val="000000"/>
                <w:sz w:val="20"/>
                <w:szCs w:val="20"/>
                <w:lang w:eastAsia="en-GB"/>
              </w:rPr>
            </w:pPr>
          </w:p>
          <w:p w14:paraId="67E4D800" w14:textId="5CA39F3D" w:rsidR="00A65E78" w:rsidRDefault="00A65E78" w:rsidP="003B0710">
            <w:pPr>
              <w:spacing w:line="240" w:lineRule="auto"/>
              <w:jc w:val="both"/>
              <w:rPr>
                <w:rFonts w:cs="Calibri"/>
                <w:color w:val="000000"/>
                <w:sz w:val="20"/>
                <w:szCs w:val="20"/>
                <w:lang w:eastAsia="en-GB"/>
              </w:rPr>
            </w:pPr>
            <w:r>
              <w:rPr>
                <w:rFonts w:cs="Calibri"/>
                <w:color w:val="000000"/>
                <w:sz w:val="20"/>
                <w:szCs w:val="20"/>
                <w:lang w:eastAsia="en-GB"/>
              </w:rPr>
              <w:t>All signat</w:t>
            </w:r>
            <w:r w:rsidR="00A41DCB">
              <w:rPr>
                <w:rFonts w:cs="Calibri"/>
                <w:color w:val="000000"/>
                <w:sz w:val="20"/>
                <w:szCs w:val="20"/>
                <w:lang w:eastAsia="en-GB"/>
              </w:rPr>
              <w:t>orie</w:t>
            </w:r>
            <w:r>
              <w:rPr>
                <w:rFonts w:cs="Calibri"/>
                <w:color w:val="000000"/>
                <w:sz w:val="20"/>
                <w:szCs w:val="20"/>
                <w:lang w:eastAsia="en-GB"/>
              </w:rPr>
              <w:t>s have</w:t>
            </w:r>
            <w:r w:rsidR="00FC7E2F">
              <w:rPr>
                <w:rFonts w:cs="Calibri"/>
                <w:color w:val="000000"/>
                <w:sz w:val="20"/>
                <w:szCs w:val="20"/>
                <w:lang w:eastAsia="en-GB"/>
              </w:rPr>
              <w:t xml:space="preserve"> </w:t>
            </w:r>
            <w:r>
              <w:rPr>
                <w:rFonts w:cs="Calibri"/>
                <w:color w:val="000000"/>
                <w:sz w:val="20"/>
                <w:szCs w:val="20"/>
                <w:lang w:eastAsia="en-GB"/>
              </w:rPr>
              <w:t>a Data Security Protection Toolkit</w:t>
            </w:r>
            <w:r w:rsidR="00FC7E2F">
              <w:rPr>
                <w:rFonts w:cs="Calibri"/>
                <w:color w:val="000000"/>
                <w:sz w:val="20"/>
                <w:szCs w:val="20"/>
                <w:lang w:eastAsia="en-GB"/>
              </w:rPr>
              <w:t xml:space="preserve"> </w:t>
            </w:r>
            <w:r>
              <w:rPr>
                <w:rFonts w:cs="Calibri"/>
                <w:color w:val="000000"/>
                <w:sz w:val="20"/>
                <w:szCs w:val="20"/>
                <w:lang w:eastAsia="en-GB"/>
              </w:rPr>
              <w:t>and have:</w:t>
            </w:r>
          </w:p>
          <w:p w14:paraId="6C0A8057" w14:textId="77777777" w:rsidR="00A65E78" w:rsidRPr="0013069A" w:rsidRDefault="00A65E78" w:rsidP="003B0710">
            <w:pPr>
              <w:spacing w:line="240" w:lineRule="auto"/>
              <w:jc w:val="both"/>
              <w:rPr>
                <w:rFonts w:cs="Calibri"/>
                <w:color w:val="000000"/>
                <w:sz w:val="20"/>
                <w:szCs w:val="20"/>
                <w:lang w:eastAsia="en-GB"/>
              </w:rPr>
            </w:pPr>
          </w:p>
          <w:p w14:paraId="3F707460" w14:textId="77777777" w:rsidR="00B7034F" w:rsidRPr="0013069A" w:rsidRDefault="00B7034F" w:rsidP="003B0710">
            <w:pPr>
              <w:spacing w:after="160" w:line="259" w:lineRule="auto"/>
              <w:jc w:val="both"/>
              <w:rPr>
                <w:rFonts w:eastAsia="Calibri" w:cs="Arial"/>
                <w:sz w:val="20"/>
                <w:szCs w:val="20"/>
              </w:rPr>
            </w:pPr>
            <w:r w:rsidRPr="0013069A">
              <w:rPr>
                <w:rFonts w:eastAsia="Calibri" w:cs="Arial"/>
                <w:sz w:val="20"/>
                <w:szCs w:val="20"/>
              </w:rPr>
              <w:t xml:space="preserve">Implement appropriate technical and organisational measures to protect the Shared Personal Data in their possession against unauthorised or unlawful processing and against accidental loss, destruction, damage, alteration or disclosure, including but not limited to: </w:t>
            </w:r>
          </w:p>
          <w:p w14:paraId="582D6E20" w14:textId="54A6B78A" w:rsidR="00B7034F"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IT equipment, including portable equipment, is kept in lockable areas when unattended</w:t>
            </w:r>
            <w:r w:rsidR="00BB3B9A">
              <w:rPr>
                <w:rFonts w:eastAsia="Calibri" w:cs="Arial"/>
                <w:sz w:val="20"/>
                <w:szCs w:val="20"/>
              </w:rPr>
              <w:t xml:space="preserve"> and is encrypted</w:t>
            </w:r>
            <w:r w:rsidR="00BB3B9A" w:rsidRPr="0013069A">
              <w:rPr>
                <w:rFonts w:eastAsia="Calibri" w:cs="Arial"/>
                <w:sz w:val="20"/>
                <w:szCs w:val="20"/>
              </w:rPr>
              <w:t>.</w:t>
            </w:r>
          </w:p>
          <w:p w14:paraId="61E6A700" w14:textId="7AE33641"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 xml:space="preserve">ensuring that staff use appropriate secure </w:t>
            </w:r>
            <w:r w:rsidR="00363F62">
              <w:rPr>
                <w:rFonts w:eastAsia="Calibri" w:cs="Arial"/>
                <w:sz w:val="20"/>
                <w:szCs w:val="20"/>
              </w:rPr>
              <w:t>methods</w:t>
            </w:r>
            <w:r w:rsidRPr="0013069A">
              <w:rPr>
                <w:rFonts w:eastAsia="Calibri" w:cs="Arial"/>
                <w:sz w:val="20"/>
                <w:szCs w:val="20"/>
              </w:rPr>
              <w:t xml:space="preserve"> for logging into systems or databases containing the Personal Data;</w:t>
            </w:r>
          </w:p>
          <w:p w14:paraId="68A1A1FC" w14:textId="7A83B11C" w:rsidR="00B7034F" w:rsidRPr="0013069A" w:rsidRDefault="00363F62" w:rsidP="00B7034F">
            <w:pPr>
              <w:numPr>
                <w:ilvl w:val="0"/>
                <w:numId w:val="2"/>
              </w:numPr>
              <w:spacing w:after="160" w:line="259" w:lineRule="auto"/>
              <w:contextualSpacing/>
              <w:jc w:val="both"/>
              <w:rPr>
                <w:rFonts w:eastAsia="Calibri" w:cs="Arial"/>
                <w:sz w:val="20"/>
                <w:szCs w:val="20"/>
              </w:rPr>
            </w:pPr>
            <w:r>
              <w:rPr>
                <w:rFonts w:eastAsia="Calibri" w:cs="Arial"/>
                <w:sz w:val="20"/>
                <w:szCs w:val="20"/>
              </w:rPr>
              <w:t xml:space="preserve">Ensuring that </w:t>
            </w:r>
            <w:r w:rsidR="008B0146">
              <w:rPr>
                <w:rFonts w:eastAsia="Calibri" w:cs="Arial"/>
                <w:sz w:val="20"/>
                <w:szCs w:val="20"/>
              </w:rPr>
              <w:t>NNPC</w:t>
            </w:r>
            <w:r>
              <w:rPr>
                <w:rFonts w:eastAsia="Calibri" w:cs="Arial"/>
                <w:sz w:val="20"/>
                <w:szCs w:val="20"/>
              </w:rPr>
              <w:t xml:space="preserve"> access to systems is appropriately audited</w:t>
            </w:r>
          </w:p>
          <w:p w14:paraId="3CF77EA7" w14:textId="188BCB01" w:rsidR="00B7034F" w:rsidRPr="00BB3B9A" w:rsidRDefault="00B7034F" w:rsidP="003B0710">
            <w:pPr>
              <w:numPr>
                <w:ilvl w:val="0"/>
                <w:numId w:val="2"/>
              </w:numPr>
              <w:spacing w:after="160" w:line="240" w:lineRule="auto"/>
              <w:contextualSpacing/>
              <w:jc w:val="both"/>
              <w:rPr>
                <w:rFonts w:cs="Calibri"/>
                <w:color w:val="000000"/>
                <w:sz w:val="20"/>
                <w:szCs w:val="20"/>
                <w:lang w:eastAsia="en-GB"/>
              </w:rPr>
            </w:pPr>
            <w:r w:rsidRPr="00BB3B9A">
              <w:rPr>
                <w:rFonts w:eastAsia="Calibri" w:cs="Arial"/>
                <w:sz w:val="20"/>
                <w:szCs w:val="20"/>
              </w:rPr>
              <w:t>Ensuring all staff handling Personal Data have been made aware of their responsibilities with regards to handling of the data</w:t>
            </w:r>
            <w:r w:rsidR="00BB3B9A" w:rsidRPr="00BB3B9A">
              <w:rPr>
                <w:rFonts w:eastAsia="Calibri" w:cs="Arial"/>
                <w:sz w:val="20"/>
                <w:szCs w:val="20"/>
              </w:rPr>
              <w:t>, have a copy of this protocol and have undergone Data Protection and Security Training in the last 12 months</w:t>
            </w:r>
          </w:p>
          <w:p w14:paraId="7DC2AD52" w14:textId="77777777" w:rsidR="00B7034F" w:rsidRPr="003761D3" w:rsidRDefault="00B7034F" w:rsidP="003B0710">
            <w:pPr>
              <w:pStyle w:val="ListParagraph"/>
              <w:spacing w:line="240" w:lineRule="auto"/>
              <w:ind w:left="1080"/>
              <w:jc w:val="both"/>
              <w:rPr>
                <w:b/>
                <w:sz w:val="20"/>
                <w:szCs w:val="20"/>
              </w:rPr>
            </w:pPr>
          </w:p>
        </w:tc>
      </w:tr>
      <w:tr w:rsidR="00B7034F" w:rsidRPr="009A6EAE" w14:paraId="2AD9AC0C"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09CE712" w14:textId="77777777" w:rsidR="00B7034F" w:rsidRDefault="00B7034F" w:rsidP="003B0710">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5E596E7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27EF854D" w14:textId="77777777" w:rsidR="00B7034F" w:rsidRPr="006B2A35" w:rsidRDefault="00B7034F" w:rsidP="003B0710">
            <w:pPr>
              <w:spacing w:line="240" w:lineRule="auto"/>
              <w:jc w:val="center"/>
              <w:rPr>
                <w:b/>
                <w:sz w:val="20"/>
                <w:szCs w:val="20"/>
              </w:rPr>
            </w:pPr>
          </w:p>
        </w:tc>
      </w:tr>
      <w:tr w:rsidR="00B7034F" w:rsidRPr="009A6EAE" w14:paraId="53332E7D"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A105D" w14:textId="77777777" w:rsidR="00B7034F" w:rsidRPr="00C94B7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4642AEFB"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B7034F" w:rsidRPr="006B2A35" w14:paraId="379DF63F" w14:textId="77777777" w:rsidTr="003B0710">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F9BF1" w14:textId="77777777" w:rsidR="00B7034F" w:rsidRPr="006B2A35" w:rsidRDefault="00B7034F" w:rsidP="003B0710">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4E2E57" w14:textId="77777777" w:rsidR="00B7034F" w:rsidRPr="006B2A35" w:rsidRDefault="00B7034F" w:rsidP="003B0710">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48584" w14:textId="77777777" w:rsidR="00B7034F" w:rsidRPr="006B2A35" w:rsidRDefault="00B7034F" w:rsidP="003B0710">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2DE7D" w14:textId="77777777" w:rsidR="00B7034F" w:rsidRPr="006B2A35" w:rsidRDefault="00B7034F" w:rsidP="003B0710">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6E2A76" w14:textId="77777777" w:rsidR="00B7034F" w:rsidRPr="006B2A35" w:rsidRDefault="00B7034F" w:rsidP="003B0710">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FF4E3" w14:textId="77777777" w:rsidR="00B7034F" w:rsidRPr="006B2A35" w:rsidRDefault="00B7034F" w:rsidP="003B0710">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2AAC4" w14:textId="77777777" w:rsidR="00B7034F" w:rsidRPr="006B2A35" w:rsidRDefault="00B7034F" w:rsidP="003B0710">
                  <w:pPr>
                    <w:spacing w:line="240" w:lineRule="auto"/>
                    <w:jc w:val="center"/>
                    <w:rPr>
                      <w:b/>
                      <w:sz w:val="20"/>
                      <w:szCs w:val="20"/>
                    </w:rPr>
                  </w:pPr>
                  <w:r w:rsidRPr="006B2A35">
                    <w:rPr>
                      <w:b/>
                      <w:sz w:val="20"/>
                      <w:szCs w:val="20"/>
                    </w:rPr>
                    <w:t>Common Law Duty of Confidentiality</w:t>
                  </w:r>
                </w:p>
              </w:tc>
            </w:tr>
            <w:tr w:rsidR="00B7034F" w:rsidRPr="006B2A35" w14:paraId="08D2B5DE" w14:textId="77777777" w:rsidTr="003B0710">
              <w:tc>
                <w:tcPr>
                  <w:tcW w:w="1465" w:type="dxa"/>
                  <w:tcBorders>
                    <w:top w:val="single" w:sz="4" w:space="0" w:color="auto"/>
                    <w:left w:val="single" w:sz="4" w:space="0" w:color="auto"/>
                    <w:bottom w:val="single" w:sz="4" w:space="0" w:color="auto"/>
                    <w:right w:val="single" w:sz="4" w:space="0" w:color="auto"/>
                  </w:tcBorders>
                  <w:vAlign w:val="center"/>
                  <w:hideMark/>
                </w:tcPr>
                <w:p w14:paraId="41FCAEF2" w14:textId="77777777" w:rsidR="00B7034F" w:rsidRPr="006B2A35" w:rsidRDefault="00B7034F" w:rsidP="003B0710">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D04E83" w14:textId="77777777" w:rsidR="00B7034F" w:rsidRPr="006B2A35" w:rsidRDefault="00B7034F" w:rsidP="003B0710">
                  <w:pPr>
                    <w:spacing w:line="240" w:lineRule="auto"/>
                    <w:jc w:val="center"/>
                    <w:rPr>
                      <w:sz w:val="20"/>
                      <w:szCs w:val="20"/>
                    </w:rPr>
                  </w:pPr>
                  <w:r w:rsidRPr="006B2A35">
                    <w:rPr>
                      <w:sz w:val="20"/>
                      <w:szCs w:val="20"/>
                    </w:rPr>
                    <w:t>Sch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60ADD6" w14:textId="77777777" w:rsidR="00B7034F" w:rsidRPr="006B2A35" w:rsidRDefault="00B7034F" w:rsidP="003B0710">
                  <w:pPr>
                    <w:spacing w:line="240" w:lineRule="auto"/>
                    <w:jc w:val="center"/>
                    <w:rPr>
                      <w:sz w:val="20"/>
                      <w:szCs w:val="20"/>
                    </w:rPr>
                  </w:pPr>
                  <w:r w:rsidRPr="006B2A35">
                    <w:rPr>
                      <w:sz w:val="20"/>
                      <w:szCs w:val="20"/>
                    </w:rPr>
                    <w:t>Sch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F9D810" w14:textId="77777777" w:rsidR="00B7034F" w:rsidRPr="006B2A35" w:rsidRDefault="00B7034F" w:rsidP="003B0710">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1E2B841" w14:textId="30C2276A" w:rsidR="00B7034F" w:rsidRPr="006B2A35" w:rsidRDefault="00B7034F" w:rsidP="003B0710">
                  <w:pPr>
                    <w:spacing w:line="240" w:lineRule="auto"/>
                    <w:jc w:val="center"/>
                    <w:rPr>
                      <w:sz w:val="20"/>
                      <w:szCs w:val="20"/>
                    </w:rPr>
                  </w:pPr>
                  <w:r>
                    <w:rPr>
                      <w:sz w:val="20"/>
                      <w:szCs w:val="20"/>
                    </w:rPr>
                    <w:t>Art 9 (2) (h</w:t>
                  </w:r>
                  <w:r w:rsidRPr="006B2A35">
                    <w:rPr>
                      <w:sz w:val="20"/>
                      <w:szCs w:val="20"/>
                    </w:rPr>
                    <w:t>)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1C3524E" w14:textId="77777777" w:rsidR="00B7034F" w:rsidRPr="006B2A35" w:rsidRDefault="00B7034F" w:rsidP="003B0710">
                  <w:pPr>
                    <w:spacing w:line="240" w:lineRule="auto"/>
                    <w:jc w:val="center"/>
                    <w:rPr>
                      <w:sz w:val="20"/>
                      <w:szCs w:val="20"/>
                    </w:rPr>
                  </w:pPr>
                  <w:r w:rsidRPr="006B2A35">
                    <w:rPr>
                      <w:sz w:val="20"/>
                      <w:szCs w:val="20"/>
                    </w:rPr>
                    <w:t>In accordance with the law</w:t>
                  </w:r>
                </w:p>
                <w:p w14:paraId="1D39591F" w14:textId="77777777" w:rsidR="00B7034F" w:rsidRPr="006B2A35" w:rsidRDefault="00B7034F" w:rsidP="003B0710">
                  <w:pPr>
                    <w:spacing w:line="240" w:lineRule="auto"/>
                    <w:jc w:val="center"/>
                    <w:rPr>
                      <w:sz w:val="20"/>
                      <w:szCs w:val="20"/>
                    </w:rPr>
                  </w:pPr>
                </w:p>
                <w:p w14:paraId="3C1CCB7C" w14:textId="77777777" w:rsidR="00B7034F" w:rsidRPr="006B2A35" w:rsidRDefault="00B7034F" w:rsidP="003B0710">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7B729FE" w14:textId="77777777" w:rsidR="00B7034F" w:rsidRPr="006B2A35" w:rsidRDefault="00B7034F" w:rsidP="003B0710">
                  <w:pPr>
                    <w:spacing w:line="240" w:lineRule="auto"/>
                    <w:jc w:val="center"/>
                    <w:rPr>
                      <w:sz w:val="20"/>
                      <w:szCs w:val="20"/>
                    </w:rPr>
                  </w:pPr>
                  <w:r>
                    <w:rPr>
                      <w:sz w:val="20"/>
                      <w:szCs w:val="20"/>
                    </w:rPr>
                    <w:t>Established through raising patient expectations through privacy materials</w:t>
                  </w:r>
                  <w:r w:rsidRPr="006B2A35">
                    <w:rPr>
                      <w:sz w:val="20"/>
                      <w:szCs w:val="20"/>
                    </w:rPr>
                    <w:t xml:space="preserve"> </w:t>
                  </w:r>
                </w:p>
              </w:tc>
            </w:tr>
          </w:tbl>
          <w:p w14:paraId="1697A8CB" w14:textId="77777777" w:rsidR="00B7034F" w:rsidRPr="009A6EAE" w:rsidRDefault="00B7034F" w:rsidP="003B0710">
            <w:pPr>
              <w:spacing w:line="240" w:lineRule="auto"/>
              <w:jc w:val="center"/>
              <w:rPr>
                <w:rFonts w:cs="Calibri"/>
                <w:color w:val="000000"/>
                <w:sz w:val="20"/>
                <w:szCs w:val="20"/>
                <w:lang w:eastAsia="en-GB"/>
              </w:rPr>
            </w:pPr>
          </w:p>
        </w:tc>
      </w:tr>
    </w:tbl>
    <w:p w14:paraId="6D8B5AD5"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14:paraId="618F4E7B" w14:textId="77777777" w:rsidTr="003B0710">
        <w:trPr>
          <w:trHeight w:val="478"/>
        </w:trPr>
        <w:tc>
          <w:tcPr>
            <w:tcW w:w="980" w:type="pct"/>
            <w:shd w:val="clear" w:color="auto" w:fill="F2F2F2" w:themeFill="background1" w:themeFillShade="F2"/>
            <w:vAlign w:val="center"/>
          </w:tcPr>
          <w:p w14:paraId="16288D06"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2CB6EB88" w14:textId="77777777" w:rsidR="00B7034F" w:rsidRPr="00BF6D8A" w:rsidRDefault="00B7034F" w:rsidP="003B0710">
            <w:pPr>
              <w:rPr>
                <w:rFonts w:cs="Arial"/>
                <w:bCs/>
                <w:sz w:val="20"/>
                <w:szCs w:val="20"/>
              </w:rPr>
            </w:pPr>
          </w:p>
        </w:tc>
        <w:tc>
          <w:tcPr>
            <w:tcW w:w="3880" w:type="pct"/>
          </w:tcPr>
          <w:p w14:paraId="0D72C266" w14:textId="77777777" w:rsidR="006F57AD" w:rsidRDefault="006F57AD" w:rsidP="003B0710">
            <w:pPr>
              <w:rPr>
                <w:rFonts w:cs="Arial"/>
                <w:bCs/>
                <w:sz w:val="20"/>
                <w:szCs w:val="20"/>
              </w:rPr>
            </w:pPr>
          </w:p>
          <w:p w14:paraId="00769DC5" w14:textId="3DCD506E" w:rsidR="00B7034F" w:rsidRPr="00BF6D8A" w:rsidRDefault="00A65E78" w:rsidP="003B0710">
            <w:pPr>
              <w:rPr>
                <w:rFonts w:cs="Arial"/>
                <w:bCs/>
                <w:sz w:val="20"/>
                <w:szCs w:val="20"/>
              </w:rPr>
            </w:pPr>
            <w:r>
              <w:rPr>
                <w:rFonts w:cs="Arial"/>
                <w:bCs/>
                <w:sz w:val="20"/>
                <w:szCs w:val="20"/>
              </w:rPr>
              <w:t xml:space="preserve">N/A </w:t>
            </w:r>
            <w:r w:rsidR="006F57AD">
              <w:rPr>
                <w:rFonts w:cs="Arial"/>
                <w:bCs/>
                <w:sz w:val="20"/>
                <w:szCs w:val="20"/>
              </w:rPr>
              <w:t>– provided in privacy materials</w:t>
            </w:r>
          </w:p>
        </w:tc>
      </w:tr>
    </w:tbl>
    <w:p w14:paraId="51C29C33"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rsidRPr="00743A58" w14:paraId="7CE17EAD" w14:textId="77777777" w:rsidTr="003B0710">
        <w:trPr>
          <w:trHeight w:val="478"/>
        </w:trPr>
        <w:tc>
          <w:tcPr>
            <w:tcW w:w="980" w:type="pct"/>
            <w:shd w:val="clear" w:color="auto" w:fill="F2F2F2" w:themeFill="background1" w:themeFillShade="F2"/>
            <w:vAlign w:val="center"/>
          </w:tcPr>
          <w:p w14:paraId="31EF3BD3"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41D6EBB0" w14:textId="77777777" w:rsidR="00B7034F" w:rsidRPr="00A12D16" w:rsidRDefault="00B7034F" w:rsidP="003B0710">
            <w:pPr>
              <w:rPr>
                <w:rFonts w:cs="Arial"/>
                <w:sz w:val="20"/>
                <w:szCs w:val="20"/>
              </w:rPr>
            </w:pPr>
          </w:p>
        </w:tc>
        <w:tc>
          <w:tcPr>
            <w:tcW w:w="3880" w:type="pct"/>
          </w:tcPr>
          <w:p w14:paraId="6D1C9733" w14:textId="2C65AF2D" w:rsidR="00B7034F" w:rsidRDefault="00397320" w:rsidP="003B0710">
            <w:pPr>
              <w:spacing w:line="276" w:lineRule="auto"/>
              <w:rPr>
                <w:rFonts w:cs="Arial"/>
                <w:sz w:val="20"/>
                <w:szCs w:val="20"/>
              </w:rPr>
            </w:pPr>
            <w:r>
              <w:rPr>
                <w:rFonts w:cs="Arial"/>
                <w:sz w:val="20"/>
                <w:szCs w:val="20"/>
              </w:rPr>
              <w:t xml:space="preserve">Kafico Ltd (DPO) </w:t>
            </w:r>
            <w:r w:rsidR="00387B49">
              <w:rPr>
                <w:rFonts w:cs="Arial"/>
                <w:sz w:val="20"/>
                <w:szCs w:val="20"/>
              </w:rPr>
              <w:t xml:space="preserve"> </w:t>
            </w:r>
          </w:p>
        </w:tc>
      </w:tr>
      <w:tr w:rsidR="00B7034F" w:rsidRPr="00743A58" w14:paraId="62A271E5" w14:textId="77777777" w:rsidTr="003B0710">
        <w:trPr>
          <w:trHeight w:val="478"/>
        </w:trPr>
        <w:tc>
          <w:tcPr>
            <w:tcW w:w="980" w:type="pct"/>
            <w:shd w:val="clear" w:color="auto" w:fill="F2F2F2" w:themeFill="background1" w:themeFillShade="F2"/>
            <w:vAlign w:val="center"/>
          </w:tcPr>
          <w:p w14:paraId="71C5BC7D"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49DCFB2D" w14:textId="77777777" w:rsidR="00B7034F" w:rsidRPr="00A12D16" w:rsidRDefault="00B7034F" w:rsidP="003B0710">
            <w:pPr>
              <w:rPr>
                <w:rFonts w:cs="Arial"/>
                <w:sz w:val="20"/>
                <w:szCs w:val="20"/>
              </w:rPr>
            </w:pPr>
          </w:p>
        </w:tc>
        <w:tc>
          <w:tcPr>
            <w:tcW w:w="3880" w:type="pct"/>
          </w:tcPr>
          <w:p w14:paraId="3D9CB940" w14:textId="140F15AA" w:rsidR="00B7034F" w:rsidRDefault="00B7034F" w:rsidP="003B0710">
            <w:pPr>
              <w:spacing w:after="160" w:line="259" w:lineRule="auto"/>
              <w:jc w:val="both"/>
              <w:rPr>
                <w:rFonts w:eastAsia="Calibri" w:cs="Arial"/>
                <w:sz w:val="20"/>
                <w:szCs w:val="20"/>
              </w:rPr>
            </w:pPr>
            <w:r w:rsidRPr="0013069A">
              <w:rPr>
                <w:rFonts w:eastAsia="Calibri" w:cs="Arial"/>
                <w:sz w:val="20"/>
                <w:szCs w:val="20"/>
              </w:rPr>
              <w:t xml:space="preserve">The Parties agree that the responsibility for complying with a request from a data subject falls on </w:t>
            </w:r>
            <w:r w:rsidR="006F1705">
              <w:rPr>
                <w:rFonts w:eastAsia="Calibri" w:cs="Arial"/>
                <w:sz w:val="20"/>
                <w:szCs w:val="20"/>
              </w:rPr>
              <w:t>Acle MC, however NNPC must notify them immediately is a request is made directly to the NNPC clinician.</w:t>
            </w:r>
            <w:r w:rsidRPr="0013069A">
              <w:rPr>
                <w:rFonts w:eastAsia="Calibri" w:cs="Arial"/>
                <w:sz w:val="20"/>
                <w:szCs w:val="20"/>
              </w:rPr>
              <w:t xml:space="preserve"> </w:t>
            </w:r>
          </w:p>
          <w:p w14:paraId="407BA62A" w14:textId="2F5C8C95" w:rsidR="00B7034F" w:rsidRPr="004B2D08" w:rsidRDefault="00B7034F" w:rsidP="003B0710">
            <w:pPr>
              <w:spacing w:after="160" w:line="259" w:lineRule="auto"/>
              <w:jc w:val="both"/>
              <w:rPr>
                <w:rFonts w:eastAsia="Calibri" w:cs="Arial"/>
                <w:sz w:val="20"/>
                <w:szCs w:val="20"/>
              </w:rPr>
            </w:pPr>
            <w:r w:rsidRPr="0013069A">
              <w:rPr>
                <w:rFonts w:eastAsia="Calibri" w:cs="Arial"/>
                <w:sz w:val="20"/>
                <w:szCs w:val="20"/>
              </w:rPr>
              <w:t>The Parties agree to provide reasonable and prompt assistance (within 5 working days of such a request for assistance) as is necessary to each other to enable them to comply with a Data Subject Request and to respond to any other queries or complaints from Data Subjects.</w:t>
            </w:r>
          </w:p>
        </w:tc>
      </w:tr>
      <w:tr w:rsidR="00B7034F" w:rsidRPr="00743A58" w14:paraId="07E0B0A7" w14:textId="77777777" w:rsidTr="003B0710">
        <w:trPr>
          <w:trHeight w:val="478"/>
        </w:trPr>
        <w:tc>
          <w:tcPr>
            <w:tcW w:w="980" w:type="pct"/>
            <w:shd w:val="clear" w:color="auto" w:fill="F2F2F2" w:themeFill="background1" w:themeFillShade="F2"/>
            <w:vAlign w:val="center"/>
          </w:tcPr>
          <w:p w14:paraId="0CF859D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E9AC241" w14:textId="77777777" w:rsidR="00B7034F" w:rsidRPr="00A12D16" w:rsidRDefault="00B7034F" w:rsidP="003B0710">
            <w:pPr>
              <w:rPr>
                <w:rFonts w:cs="Arial"/>
                <w:sz w:val="20"/>
                <w:szCs w:val="20"/>
              </w:rPr>
            </w:pPr>
          </w:p>
        </w:tc>
        <w:tc>
          <w:tcPr>
            <w:tcW w:w="3880" w:type="pct"/>
          </w:tcPr>
          <w:p w14:paraId="021AFFD9" w14:textId="77777777" w:rsidR="00B7034F" w:rsidRDefault="00B7034F" w:rsidP="003B0710">
            <w:pPr>
              <w:spacing w:line="276" w:lineRule="auto"/>
              <w:rPr>
                <w:rFonts w:cs="Arial"/>
                <w:sz w:val="20"/>
                <w:szCs w:val="20"/>
              </w:rPr>
            </w:pPr>
          </w:p>
          <w:p w14:paraId="60D5DF34" w14:textId="03198A70" w:rsidR="00B7034F" w:rsidRPr="003761D3" w:rsidRDefault="00B7034F" w:rsidP="003B0710">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 xml:space="preserve">provided to all staff </w:t>
            </w:r>
            <w:r w:rsidR="00252F5D">
              <w:rPr>
                <w:rFonts w:cs="Arial"/>
                <w:sz w:val="20"/>
                <w:szCs w:val="20"/>
              </w:rPr>
              <w:t xml:space="preserve">involved in the project at </w:t>
            </w:r>
            <w:r w:rsidR="00FC7E2F">
              <w:rPr>
                <w:rFonts w:cs="Arial"/>
                <w:sz w:val="20"/>
                <w:szCs w:val="20"/>
              </w:rPr>
              <w:t xml:space="preserve">NNPC and </w:t>
            </w:r>
            <w:r w:rsidR="00A41DCB">
              <w:rPr>
                <w:rFonts w:cs="Arial"/>
                <w:sz w:val="20"/>
                <w:szCs w:val="20"/>
              </w:rPr>
              <w:t>Acle MC</w:t>
            </w:r>
            <w:r w:rsidR="00FC7E2F">
              <w:rPr>
                <w:rFonts w:cs="Arial"/>
                <w:sz w:val="20"/>
                <w:szCs w:val="20"/>
              </w:rPr>
              <w:t xml:space="preserve"> </w:t>
            </w:r>
            <w:r w:rsidR="009726B9">
              <w:rPr>
                <w:rFonts w:cs="Arial"/>
                <w:sz w:val="20"/>
                <w:szCs w:val="20"/>
              </w:rPr>
              <w:t>a</w:t>
            </w:r>
            <w:r>
              <w:rPr>
                <w:rFonts w:cs="Arial"/>
                <w:sz w:val="20"/>
                <w:szCs w:val="20"/>
              </w:rPr>
              <w:t xml:space="preserve">nd should be </w:t>
            </w:r>
            <w:r w:rsidRPr="003761D3">
              <w:rPr>
                <w:rFonts w:cs="Arial"/>
                <w:sz w:val="20"/>
                <w:szCs w:val="20"/>
              </w:rPr>
              <w:t>logged with the Information Governance Lead</w:t>
            </w:r>
            <w:r>
              <w:rPr>
                <w:rFonts w:cs="Arial"/>
                <w:sz w:val="20"/>
                <w:szCs w:val="20"/>
              </w:rPr>
              <w:t xml:space="preserve"> / DPO</w:t>
            </w:r>
            <w:r w:rsidRPr="003761D3">
              <w:rPr>
                <w:rFonts w:cs="Arial"/>
                <w:sz w:val="20"/>
                <w:szCs w:val="20"/>
              </w:rPr>
              <w:t xml:space="preserve"> for each participating partner organisation.</w:t>
            </w:r>
          </w:p>
        </w:tc>
      </w:tr>
      <w:tr w:rsidR="00B7034F" w:rsidRPr="00743A58" w14:paraId="5861C6AD" w14:textId="77777777" w:rsidTr="003B0710">
        <w:trPr>
          <w:trHeight w:val="339"/>
        </w:trPr>
        <w:tc>
          <w:tcPr>
            <w:tcW w:w="980" w:type="pct"/>
            <w:shd w:val="clear" w:color="auto" w:fill="F2F2F2" w:themeFill="background1" w:themeFillShade="F2"/>
            <w:vAlign w:val="center"/>
          </w:tcPr>
          <w:p w14:paraId="51E5AA38" w14:textId="77777777" w:rsidR="00B7034F" w:rsidRPr="00A318B7" w:rsidRDefault="00B7034F" w:rsidP="003B0710">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72BFFEFB" w14:textId="77777777" w:rsidR="00B7034F" w:rsidRPr="00A12D16" w:rsidRDefault="00B7034F" w:rsidP="003B0710">
            <w:pPr>
              <w:pStyle w:val="Default"/>
              <w:spacing w:before="100" w:after="100"/>
              <w:rPr>
                <w:rFonts w:ascii="Arial Nova Light" w:hAnsi="Arial Nova Light"/>
                <w:color w:val="FF0000"/>
                <w:sz w:val="20"/>
                <w:szCs w:val="20"/>
              </w:rPr>
            </w:pPr>
          </w:p>
        </w:tc>
        <w:tc>
          <w:tcPr>
            <w:tcW w:w="3880" w:type="pct"/>
          </w:tcPr>
          <w:p w14:paraId="4AA5DED1" w14:textId="1235998B" w:rsidR="00B7034F" w:rsidRPr="00A12D16" w:rsidRDefault="00FC7E2F" w:rsidP="003B0710">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lang w:eastAsia="en-US"/>
              </w:rPr>
              <w:t>June</w:t>
            </w:r>
            <w:r w:rsidR="00BB3B9A" w:rsidRPr="00BB3B9A">
              <w:rPr>
                <w:rFonts w:ascii="Arial Nova Light" w:hAnsi="Arial Nova Light"/>
                <w:color w:val="auto"/>
                <w:sz w:val="20"/>
                <w:szCs w:val="20"/>
                <w:lang w:eastAsia="en-US"/>
              </w:rPr>
              <w:t xml:space="preserve"> 2020</w:t>
            </w:r>
          </w:p>
        </w:tc>
      </w:tr>
      <w:tr w:rsidR="00B7034F" w:rsidRPr="008455BE" w14:paraId="4919E91A" w14:textId="77777777" w:rsidTr="003B0710">
        <w:trPr>
          <w:trHeight w:val="497"/>
        </w:trPr>
        <w:tc>
          <w:tcPr>
            <w:tcW w:w="980" w:type="pct"/>
            <w:shd w:val="clear" w:color="auto" w:fill="F2F2F2" w:themeFill="background1" w:themeFillShade="F2"/>
            <w:vAlign w:val="center"/>
          </w:tcPr>
          <w:p w14:paraId="3A0FB10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0706BBF3" w14:textId="77777777" w:rsidR="00B7034F" w:rsidRPr="00A12D16" w:rsidRDefault="00B7034F" w:rsidP="003B0710">
            <w:pPr>
              <w:pStyle w:val="Default"/>
              <w:spacing w:before="100" w:after="100"/>
              <w:rPr>
                <w:rFonts w:ascii="Arial Nova Light" w:hAnsi="Arial Nova Light"/>
                <w:color w:val="auto"/>
                <w:sz w:val="20"/>
                <w:szCs w:val="20"/>
              </w:rPr>
            </w:pPr>
          </w:p>
        </w:tc>
        <w:tc>
          <w:tcPr>
            <w:tcW w:w="3880" w:type="pct"/>
          </w:tcPr>
          <w:p w14:paraId="2865166C" w14:textId="6118646F" w:rsidR="00B7034F" w:rsidRPr="00A12D16" w:rsidRDefault="00A41DCB" w:rsidP="003B0710">
            <w:pPr>
              <w:pStyle w:val="Default"/>
              <w:spacing w:before="100" w:after="100"/>
              <w:rPr>
                <w:rFonts w:ascii="Arial Nova Light" w:hAnsi="Arial Nova Light"/>
                <w:color w:val="auto"/>
                <w:sz w:val="20"/>
                <w:szCs w:val="20"/>
              </w:rPr>
            </w:pPr>
            <w:r>
              <w:rPr>
                <w:rFonts w:ascii="Arial Nova Light" w:hAnsi="Arial Nova Light"/>
                <w:color w:val="auto"/>
                <w:sz w:val="20"/>
                <w:szCs w:val="20"/>
              </w:rPr>
              <w:t>June</w:t>
            </w:r>
            <w:r w:rsidR="008B0146">
              <w:rPr>
                <w:rFonts w:ascii="Arial Nova Light" w:hAnsi="Arial Nova Light"/>
                <w:color w:val="auto"/>
                <w:sz w:val="20"/>
                <w:szCs w:val="20"/>
              </w:rPr>
              <w:t xml:space="preserve"> 202</w:t>
            </w:r>
            <w:r>
              <w:rPr>
                <w:rFonts w:ascii="Arial Nova Light" w:hAnsi="Arial Nova Light"/>
                <w:color w:val="auto"/>
                <w:sz w:val="20"/>
                <w:szCs w:val="20"/>
              </w:rPr>
              <w:t>1</w:t>
            </w:r>
          </w:p>
        </w:tc>
      </w:tr>
      <w:tr w:rsidR="00B7034F" w:rsidRPr="008455BE" w14:paraId="1FFC4D9E" w14:textId="77777777" w:rsidTr="003B0710">
        <w:trPr>
          <w:trHeight w:val="497"/>
        </w:trPr>
        <w:tc>
          <w:tcPr>
            <w:tcW w:w="980" w:type="pct"/>
            <w:shd w:val="clear" w:color="auto" w:fill="F2F2F2" w:themeFill="background1" w:themeFillShade="F2"/>
            <w:vAlign w:val="center"/>
          </w:tcPr>
          <w:p w14:paraId="0210694F" w14:textId="77777777" w:rsidR="00B7034F" w:rsidRPr="00A12D16" w:rsidRDefault="00B7034F" w:rsidP="003B0710">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4AA4AD87" w14:textId="77777777" w:rsidR="00B7034F" w:rsidRPr="00A12D16" w:rsidRDefault="00B7034F" w:rsidP="003B0710">
            <w:pPr>
              <w:pStyle w:val="Default"/>
              <w:rPr>
                <w:rFonts w:ascii="Arial Nova Light" w:hAnsi="Arial Nova Light"/>
                <w:color w:val="auto"/>
                <w:sz w:val="20"/>
                <w:szCs w:val="20"/>
              </w:rPr>
            </w:pPr>
          </w:p>
        </w:tc>
        <w:tc>
          <w:tcPr>
            <w:tcW w:w="3880" w:type="pct"/>
            <w:shd w:val="clear" w:color="auto" w:fill="auto"/>
            <w:vAlign w:val="center"/>
          </w:tcPr>
          <w:p w14:paraId="2AA1E5DE" w14:textId="77777777" w:rsidR="00B7034F" w:rsidRPr="00A12D16" w:rsidRDefault="00B7034F" w:rsidP="003B0710">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D3A6351" w14:textId="77777777" w:rsidR="00B7034F" w:rsidRDefault="00B7034F" w:rsidP="00B7034F"/>
    <w:p w14:paraId="3400E7C1" w14:textId="77777777" w:rsidR="00B7034F" w:rsidRDefault="00B7034F" w:rsidP="00B7034F"/>
    <w:p w14:paraId="17A0BCF1" w14:textId="77777777" w:rsidR="00326467" w:rsidRDefault="00326467"/>
    <w:sectPr w:rsidR="00326467" w:rsidSect="0036309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8A7B" w14:textId="77777777" w:rsidR="00BC19DD" w:rsidRDefault="00BC19DD">
      <w:pPr>
        <w:spacing w:line="240" w:lineRule="auto"/>
      </w:pPr>
      <w:r>
        <w:separator/>
      </w:r>
    </w:p>
  </w:endnote>
  <w:endnote w:type="continuationSeparator" w:id="0">
    <w:p w14:paraId="3392A047" w14:textId="77777777" w:rsidR="00BC19DD" w:rsidRDefault="00BC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B947" w14:textId="77777777" w:rsidR="00BC19DD" w:rsidRDefault="00BC19DD">
      <w:pPr>
        <w:spacing w:line="240" w:lineRule="auto"/>
      </w:pPr>
      <w:r>
        <w:separator/>
      </w:r>
    </w:p>
  </w:footnote>
  <w:footnote w:type="continuationSeparator" w:id="0">
    <w:p w14:paraId="40B32E68" w14:textId="77777777" w:rsidR="00BC19DD" w:rsidRDefault="00BC1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5968" w14:textId="77777777" w:rsidR="00371C71" w:rsidRDefault="00BC19DD" w:rsidP="00371C71">
    <w:pPr>
      <w:pStyle w:val="Header"/>
      <w:jc w:val="center"/>
    </w:pPr>
  </w:p>
  <w:p w14:paraId="0EAAB424" w14:textId="77777777" w:rsidR="00371C71" w:rsidRDefault="00BC1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11A"/>
    <w:multiLevelType w:val="hybridMultilevel"/>
    <w:tmpl w:val="63E6E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366342"/>
    <w:multiLevelType w:val="hybridMultilevel"/>
    <w:tmpl w:val="660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37979"/>
    <w:multiLevelType w:val="hybridMultilevel"/>
    <w:tmpl w:val="F57C4C78"/>
    <w:lvl w:ilvl="0" w:tplc="B30A0C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1563DEA"/>
    <w:multiLevelType w:val="multilevel"/>
    <w:tmpl w:val="0896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05066"/>
    <w:multiLevelType w:val="hybridMultilevel"/>
    <w:tmpl w:val="1EB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61527"/>
    <w:multiLevelType w:val="hybridMultilevel"/>
    <w:tmpl w:val="731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4F"/>
    <w:rsid w:val="00000018"/>
    <w:rsid w:val="000008C3"/>
    <w:rsid w:val="00045C12"/>
    <w:rsid w:val="000B5816"/>
    <w:rsid w:val="000B7E7B"/>
    <w:rsid w:val="000D290E"/>
    <w:rsid w:val="000E0E05"/>
    <w:rsid w:val="00110A80"/>
    <w:rsid w:val="0017766A"/>
    <w:rsid w:val="001B1EF8"/>
    <w:rsid w:val="001E304A"/>
    <w:rsid w:val="001F2420"/>
    <w:rsid w:val="00206A66"/>
    <w:rsid w:val="00251D02"/>
    <w:rsid w:val="00252F5D"/>
    <w:rsid w:val="002563FD"/>
    <w:rsid w:val="00281718"/>
    <w:rsid w:val="00297DA8"/>
    <w:rsid w:val="002A0EF7"/>
    <w:rsid w:val="002B1816"/>
    <w:rsid w:val="002B29F1"/>
    <w:rsid w:val="002D68C1"/>
    <w:rsid w:val="00326467"/>
    <w:rsid w:val="00363F62"/>
    <w:rsid w:val="003806D7"/>
    <w:rsid w:val="003869B3"/>
    <w:rsid w:val="00387B49"/>
    <w:rsid w:val="003927E8"/>
    <w:rsid w:val="00397320"/>
    <w:rsid w:val="003B420E"/>
    <w:rsid w:val="003C2611"/>
    <w:rsid w:val="003C27E3"/>
    <w:rsid w:val="003C6228"/>
    <w:rsid w:val="00401E25"/>
    <w:rsid w:val="00410EF5"/>
    <w:rsid w:val="004C1530"/>
    <w:rsid w:val="00504AE3"/>
    <w:rsid w:val="00550B67"/>
    <w:rsid w:val="00583934"/>
    <w:rsid w:val="005A04A7"/>
    <w:rsid w:val="006034C3"/>
    <w:rsid w:val="00684B0B"/>
    <w:rsid w:val="006F1705"/>
    <w:rsid w:val="006F262F"/>
    <w:rsid w:val="006F57AD"/>
    <w:rsid w:val="0076774C"/>
    <w:rsid w:val="00784FD5"/>
    <w:rsid w:val="00806189"/>
    <w:rsid w:val="008430BB"/>
    <w:rsid w:val="00850224"/>
    <w:rsid w:val="00851040"/>
    <w:rsid w:val="008721DD"/>
    <w:rsid w:val="008A1D58"/>
    <w:rsid w:val="008A4708"/>
    <w:rsid w:val="008B0146"/>
    <w:rsid w:val="009077A9"/>
    <w:rsid w:val="009726B9"/>
    <w:rsid w:val="009774A5"/>
    <w:rsid w:val="00987F7C"/>
    <w:rsid w:val="009A5B90"/>
    <w:rsid w:val="00A2275D"/>
    <w:rsid w:val="00A349E5"/>
    <w:rsid w:val="00A35A63"/>
    <w:rsid w:val="00A41DCB"/>
    <w:rsid w:val="00A65E78"/>
    <w:rsid w:val="00A85670"/>
    <w:rsid w:val="00AC3F85"/>
    <w:rsid w:val="00AD60FE"/>
    <w:rsid w:val="00AF19D2"/>
    <w:rsid w:val="00AF2AEC"/>
    <w:rsid w:val="00B679CB"/>
    <w:rsid w:val="00B67D98"/>
    <w:rsid w:val="00B7034F"/>
    <w:rsid w:val="00BB3B9A"/>
    <w:rsid w:val="00BB5040"/>
    <w:rsid w:val="00BB5442"/>
    <w:rsid w:val="00BC19DD"/>
    <w:rsid w:val="00BD2EF5"/>
    <w:rsid w:val="00BF4C29"/>
    <w:rsid w:val="00C17D18"/>
    <w:rsid w:val="00C2147F"/>
    <w:rsid w:val="00C2450E"/>
    <w:rsid w:val="00C55DC6"/>
    <w:rsid w:val="00C76ADF"/>
    <w:rsid w:val="00CE7923"/>
    <w:rsid w:val="00CF3C11"/>
    <w:rsid w:val="00CF4A19"/>
    <w:rsid w:val="00CF640F"/>
    <w:rsid w:val="00D0177B"/>
    <w:rsid w:val="00D6019F"/>
    <w:rsid w:val="00DF0A26"/>
    <w:rsid w:val="00E65222"/>
    <w:rsid w:val="00E86619"/>
    <w:rsid w:val="00EB6DC5"/>
    <w:rsid w:val="00ED14B8"/>
    <w:rsid w:val="00ED1B08"/>
    <w:rsid w:val="00F12D2C"/>
    <w:rsid w:val="00F1572B"/>
    <w:rsid w:val="00F20FD1"/>
    <w:rsid w:val="00F325E5"/>
    <w:rsid w:val="00F3741E"/>
    <w:rsid w:val="00F614C0"/>
    <w:rsid w:val="00F62369"/>
    <w:rsid w:val="00F70EDA"/>
    <w:rsid w:val="00F902BE"/>
    <w:rsid w:val="00FA0E1C"/>
    <w:rsid w:val="00FA1383"/>
    <w:rsid w:val="00FB191E"/>
    <w:rsid w:val="00FC3D63"/>
    <w:rsid w:val="00FC7E2F"/>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990"/>
  <w15:chartTrackingRefBased/>
  <w15:docId w15:val="{103C2817-FF04-4988-8F4B-C3E855E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F"/>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B7034F"/>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34F"/>
    <w:rPr>
      <w:rFonts w:ascii="Arial Nova Light" w:eastAsia="Times New Roman" w:hAnsi="Arial Nova Light" w:cs="Times New Roman"/>
      <w:bCs/>
      <w:color w:val="4472C4"/>
      <w:sz w:val="28"/>
      <w:szCs w:val="24"/>
    </w:rPr>
  </w:style>
  <w:style w:type="character" w:styleId="Hyperlink">
    <w:name w:val="Hyperlink"/>
    <w:uiPriority w:val="99"/>
    <w:rsid w:val="00B7034F"/>
    <w:rPr>
      <w:color w:val="0000FF"/>
      <w:u w:val="single"/>
    </w:rPr>
  </w:style>
  <w:style w:type="paragraph" w:customStyle="1" w:styleId="Default">
    <w:name w:val="Default"/>
    <w:rsid w:val="00B703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7034F"/>
    <w:pPr>
      <w:ind w:left="720"/>
      <w:contextualSpacing/>
    </w:pPr>
  </w:style>
  <w:style w:type="table" w:styleId="TableGrid">
    <w:name w:val="Table Grid"/>
    <w:basedOn w:val="TableNormal"/>
    <w:uiPriority w:val="39"/>
    <w:rsid w:val="00B7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34F"/>
    <w:rPr>
      <w:sz w:val="16"/>
      <w:szCs w:val="16"/>
    </w:rPr>
  </w:style>
  <w:style w:type="paragraph" w:styleId="CommentText">
    <w:name w:val="annotation text"/>
    <w:basedOn w:val="Normal"/>
    <w:link w:val="CommentTextChar"/>
    <w:uiPriority w:val="99"/>
    <w:semiHidden/>
    <w:unhideWhenUsed/>
    <w:rsid w:val="00B7034F"/>
    <w:pPr>
      <w:spacing w:line="240" w:lineRule="auto"/>
    </w:pPr>
    <w:rPr>
      <w:sz w:val="20"/>
      <w:szCs w:val="20"/>
    </w:rPr>
  </w:style>
  <w:style w:type="character" w:customStyle="1" w:styleId="CommentTextChar">
    <w:name w:val="Comment Text Char"/>
    <w:basedOn w:val="DefaultParagraphFont"/>
    <w:link w:val="CommentText"/>
    <w:uiPriority w:val="99"/>
    <w:semiHidden/>
    <w:rsid w:val="00B7034F"/>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B7034F"/>
    <w:pPr>
      <w:tabs>
        <w:tab w:val="center" w:pos="4513"/>
        <w:tab w:val="right" w:pos="9026"/>
      </w:tabs>
      <w:spacing w:line="240" w:lineRule="auto"/>
    </w:pPr>
  </w:style>
  <w:style w:type="character" w:customStyle="1" w:styleId="HeaderChar">
    <w:name w:val="Header Char"/>
    <w:basedOn w:val="DefaultParagraphFont"/>
    <w:link w:val="Header"/>
    <w:uiPriority w:val="99"/>
    <w:rsid w:val="00B7034F"/>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B7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2F5D"/>
    <w:rPr>
      <w:b/>
      <w:bCs/>
    </w:rPr>
  </w:style>
  <w:style w:type="character" w:customStyle="1" w:styleId="CommentSubjectChar">
    <w:name w:val="Comment Subject Char"/>
    <w:basedOn w:val="CommentTextChar"/>
    <w:link w:val="CommentSubject"/>
    <w:uiPriority w:val="99"/>
    <w:semiHidden/>
    <w:rsid w:val="00252F5D"/>
    <w:rPr>
      <w:rFonts w:ascii="Arial Nova Light" w:eastAsia="Times New Roman" w:hAnsi="Arial Nova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53D71-1B23-47CC-A9A3-316C5AD10B70}">
  <ds:schemaRefs>
    <ds:schemaRef ds:uri="http://schemas.microsoft.com/sharepoint/v3/contenttype/forms"/>
  </ds:schemaRefs>
</ds:datastoreItem>
</file>

<file path=customXml/itemProps2.xml><?xml version="1.0" encoding="utf-8"?>
<ds:datastoreItem xmlns:ds="http://schemas.openxmlformats.org/officeDocument/2006/customXml" ds:itemID="{16A090BB-F9CA-4A12-9A60-B6409AEE4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6B8B2-AF98-41D3-86C1-BFE07B24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5</cp:revision>
  <dcterms:created xsi:type="dcterms:W3CDTF">2020-06-10T14:52:00Z</dcterms:created>
  <dcterms:modified xsi:type="dcterms:W3CDTF">2020-06-10T16:34:00Z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