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0CFC4" w14:textId="6FCD9A4C" w:rsidR="00B7034F" w:rsidRDefault="00977A50" w:rsidP="00B7034F">
      <w:pPr>
        <w:pStyle w:val="Heading2"/>
        <w:jc w:val="center"/>
        <w:rPr>
          <w:rStyle w:val="Hyperlink"/>
        </w:rPr>
      </w:pPr>
      <w:r>
        <w:rPr>
          <w:rStyle w:val="Hyperlink"/>
        </w:rPr>
        <w:t>Homeless Health Service</w:t>
      </w:r>
      <w:r w:rsidR="00504AE3">
        <w:rPr>
          <w:rStyle w:val="Hyperlink"/>
        </w:rPr>
        <w:t xml:space="preserve"> Project</w:t>
      </w:r>
      <w:r w:rsidR="00B7034F">
        <w:rPr>
          <w:rStyle w:val="Hyperlink"/>
        </w:rPr>
        <w:t xml:space="preserve"> </w:t>
      </w:r>
      <w:r w:rsidR="00B7034F" w:rsidRPr="008E28FD">
        <w:rPr>
          <w:rStyle w:val="Hyperlink"/>
        </w:rPr>
        <w:t xml:space="preserve">– </w:t>
      </w:r>
      <w:r w:rsidR="00B7034F">
        <w:rPr>
          <w:rStyle w:val="Hyperlink"/>
        </w:rPr>
        <w:t xml:space="preserve">Information Sharing Protocol </w:t>
      </w:r>
    </w:p>
    <w:p w14:paraId="46BF78A1" w14:textId="77777777" w:rsidR="00B7034F" w:rsidRDefault="00B7034F" w:rsidP="00B7034F"/>
    <w:p w14:paraId="3A839DF1" w14:textId="71F90BF8" w:rsidR="00B7034F" w:rsidRPr="00E117CC" w:rsidRDefault="003806D7" w:rsidP="003806D7">
      <w:pPr>
        <w:rPr>
          <w:rFonts w:cs="Arial"/>
          <w:color w:val="000000"/>
          <w:szCs w:val="22"/>
          <w:lang w:eastAsia="en-GB"/>
        </w:rPr>
      </w:pPr>
      <w:r>
        <w:rPr>
          <w:rFonts w:cs="Arial"/>
          <w:color w:val="000000"/>
          <w:szCs w:val="22"/>
          <w:lang w:eastAsia="en-GB"/>
        </w:rPr>
        <w:t xml:space="preserve">The </w:t>
      </w:r>
      <w:r w:rsidR="00583934" w:rsidRPr="00583934">
        <w:rPr>
          <w:rFonts w:cs="Arial"/>
          <w:color w:val="000000"/>
          <w:szCs w:val="22"/>
          <w:lang w:eastAsia="en-GB"/>
        </w:rPr>
        <w:t>Norfolk and Waveney Health and Social Care Information Sharing Agreement</w:t>
      </w:r>
      <w:r w:rsidRPr="00583934">
        <w:rPr>
          <w:rFonts w:cs="Arial"/>
          <w:color w:val="000000"/>
          <w:szCs w:val="22"/>
          <w:lang w:eastAsia="en-GB"/>
        </w:rPr>
        <w:t xml:space="preserve"> </w:t>
      </w:r>
      <w:r w:rsidR="00B7034F" w:rsidRPr="00583934">
        <w:rPr>
          <w:rFonts w:cs="Arial"/>
          <w:color w:val="000000"/>
          <w:szCs w:val="22"/>
          <w:lang w:eastAsia="en-GB"/>
        </w:rPr>
        <w:t>(ISA)</w:t>
      </w:r>
      <w:r w:rsidR="00B7034F" w:rsidRPr="00E117CC">
        <w:rPr>
          <w:rFonts w:cs="Arial"/>
          <w:color w:val="000000"/>
          <w:szCs w:val="22"/>
          <w:lang w:eastAsia="en-GB"/>
        </w:rPr>
        <w:t xml:space="preserve">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664EFE24" w14:textId="77777777" w:rsidR="00B7034F" w:rsidRPr="00E117CC" w:rsidRDefault="00B7034F" w:rsidP="00B7034F">
      <w:pPr>
        <w:rPr>
          <w:rFonts w:cs="Arial"/>
          <w:color w:val="000000"/>
          <w:szCs w:val="22"/>
          <w:lang w:eastAsia="en-GB"/>
        </w:rPr>
      </w:pPr>
    </w:p>
    <w:p w14:paraId="7F7891E0" w14:textId="5BCCCA83" w:rsidR="00B7034F" w:rsidRPr="008E28FD" w:rsidRDefault="00B7034F" w:rsidP="00B7034F">
      <w:r w:rsidRPr="00E117CC">
        <w:rPr>
          <w:rFonts w:cs="Arial"/>
          <w:color w:val="000000"/>
          <w:szCs w:val="22"/>
          <w:lang w:eastAsia="en-GB"/>
        </w:rPr>
        <w:t xml:space="preserve">The ISP is provided to all parties to support risk mitigation and to provide a consistent approach to managing data flows that </w:t>
      </w:r>
      <w:r w:rsidR="005A04A7">
        <w:rPr>
          <w:rFonts w:cs="Arial"/>
          <w:color w:val="000000"/>
          <w:szCs w:val="22"/>
          <w:lang w:eastAsia="en-GB"/>
        </w:rPr>
        <w:t xml:space="preserve">may be </w:t>
      </w:r>
      <w:r w:rsidRPr="00E117CC">
        <w:rPr>
          <w:rFonts w:cs="Arial"/>
          <w:color w:val="000000"/>
          <w:szCs w:val="22"/>
          <w:lang w:eastAsia="en-GB"/>
        </w:rPr>
        <w:t>routinely occurring.</w:t>
      </w:r>
    </w:p>
    <w:tbl>
      <w:tblPr>
        <w:tblW w:w="5000" w:type="pct"/>
        <w:tblLook w:val="04A0" w:firstRow="1" w:lastRow="0" w:firstColumn="1" w:lastColumn="0" w:noHBand="0" w:noVBand="1"/>
      </w:tblPr>
      <w:tblGrid>
        <w:gridCol w:w="428"/>
        <w:gridCol w:w="40"/>
        <w:gridCol w:w="3926"/>
        <w:gridCol w:w="311"/>
        <w:gridCol w:w="6612"/>
        <w:gridCol w:w="277"/>
        <w:gridCol w:w="3508"/>
        <w:gridCol w:w="296"/>
      </w:tblGrid>
      <w:tr w:rsidR="00B7034F" w:rsidRPr="0049256C" w14:paraId="330B5448" w14:textId="77777777" w:rsidTr="003B0710">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4F8146AB"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D80F78C" w14:textId="77777777" w:rsidR="00B7034F" w:rsidRPr="0049256C" w:rsidRDefault="00B7034F" w:rsidP="003B0710">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47A57F24"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658BAF65" w14:textId="77777777" w:rsidTr="003B0710">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54AD1D94"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1054A54A"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A55B84A" w14:textId="095BD925" w:rsidR="00B7034F" w:rsidRPr="00FA5A29" w:rsidRDefault="00977A50" w:rsidP="003B0710">
            <w:pPr>
              <w:spacing w:line="240" w:lineRule="auto"/>
              <w:rPr>
                <w:rFonts w:cs="Calibri"/>
                <w:bCs/>
                <w:color w:val="000000"/>
                <w:sz w:val="20"/>
                <w:szCs w:val="20"/>
                <w:lang w:eastAsia="en-GB"/>
              </w:rPr>
            </w:pPr>
            <w:r>
              <w:rPr>
                <w:rFonts w:cs="Arial"/>
                <w:color w:val="000000"/>
                <w:szCs w:val="22"/>
                <w:lang w:eastAsia="en-GB"/>
              </w:rPr>
              <w:t>Homeless Health Service</w:t>
            </w:r>
            <w:r w:rsidR="00DF5A35">
              <w:rPr>
                <w:rFonts w:cs="Arial"/>
                <w:color w:val="000000"/>
                <w:szCs w:val="22"/>
                <w:lang w:eastAsia="en-GB"/>
              </w:rPr>
              <w:t xml:space="preserve"> (Council Rehoming</w:t>
            </w:r>
            <w:r w:rsidR="00A14BA5">
              <w:rPr>
                <w:rFonts w:cs="Arial"/>
                <w:color w:val="000000"/>
                <w:szCs w:val="22"/>
                <w:lang w:eastAsia="en-GB"/>
              </w:rPr>
              <w:t xml:space="preserve"> Scheme)</w:t>
            </w:r>
          </w:p>
        </w:tc>
      </w:tr>
      <w:tr w:rsidR="00B7034F" w:rsidRPr="0049256C" w14:paraId="56E64DE5" w14:textId="77777777" w:rsidTr="003B0710">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3AD49E97" w14:textId="77777777" w:rsidR="00B7034F" w:rsidRPr="0049256C" w:rsidRDefault="00B7034F" w:rsidP="003B0710">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09D4EC16" w14:textId="77777777" w:rsidR="00B7034F" w:rsidRPr="0049256C" w:rsidRDefault="00B7034F" w:rsidP="003B0710">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4871CAAE" w14:textId="77777777" w:rsidR="00B7034F" w:rsidRPr="0049256C" w:rsidRDefault="00B7034F" w:rsidP="003B0710">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50794203" w14:textId="77777777" w:rsidR="00B7034F" w:rsidRPr="0049256C" w:rsidRDefault="00B7034F" w:rsidP="003B0710">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B7034F" w:rsidRPr="0049256C" w14:paraId="6540116E" w14:textId="77777777" w:rsidTr="003B0710">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3E1B"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34266B93"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F9B11B" w14:textId="77777777" w:rsidR="00B7034F" w:rsidRPr="002B1816" w:rsidRDefault="00B7034F" w:rsidP="002B1816">
            <w:pPr>
              <w:rPr>
                <w:rFonts w:cs="Arial"/>
                <w:sz w:val="20"/>
                <w:szCs w:val="20"/>
              </w:rPr>
            </w:pPr>
          </w:p>
          <w:p w14:paraId="1A34F946" w14:textId="719397E3" w:rsidR="00F62369" w:rsidRPr="002B1816" w:rsidRDefault="00B7034F" w:rsidP="002B1816">
            <w:pPr>
              <w:rPr>
                <w:rFonts w:cs="Arial"/>
                <w:sz w:val="20"/>
                <w:szCs w:val="20"/>
              </w:rPr>
            </w:pPr>
            <w:r w:rsidRPr="002B1816">
              <w:rPr>
                <w:rFonts w:cs="Arial"/>
                <w:sz w:val="20"/>
                <w:szCs w:val="20"/>
              </w:rPr>
              <w:t xml:space="preserve">This document provides a formal agreement and associated actions in relation to the sharing of personal and sensitive (special category data) patient data between </w:t>
            </w:r>
            <w:r w:rsidR="00775FC3" w:rsidRPr="00775FC3">
              <w:rPr>
                <w:rFonts w:cs="Arial"/>
                <w:sz w:val="20"/>
                <w:szCs w:val="20"/>
              </w:rPr>
              <w:t>East Suffolk Council</w:t>
            </w:r>
            <w:r w:rsidR="00775FC3">
              <w:rPr>
                <w:rFonts w:cs="Arial"/>
                <w:sz w:val="20"/>
                <w:szCs w:val="20"/>
              </w:rPr>
              <w:t xml:space="preserve"> and </w:t>
            </w:r>
            <w:r w:rsidR="00977A50">
              <w:rPr>
                <w:rFonts w:cs="Arial"/>
                <w:sz w:val="20"/>
                <w:szCs w:val="20"/>
              </w:rPr>
              <w:t>East Norfolk Medical Practice</w:t>
            </w:r>
            <w:r w:rsidR="00251D02">
              <w:rPr>
                <w:rFonts w:cs="Arial"/>
                <w:sz w:val="20"/>
                <w:szCs w:val="20"/>
              </w:rPr>
              <w:t xml:space="preserve"> and </w:t>
            </w:r>
            <w:r w:rsidR="004536B9">
              <w:rPr>
                <w:rFonts w:cs="Arial"/>
                <w:sz w:val="20"/>
                <w:szCs w:val="20"/>
              </w:rPr>
              <w:t xml:space="preserve">subsequently </w:t>
            </w:r>
            <w:r w:rsidR="00977A50">
              <w:rPr>
                <w:rFonts w:cs="Arial"/>
                <w:sz w:val="20"/>
                <w:szCs w:val="20"/>
              </w:rPr>
              <w:t xml:space="preserve">other Norfolk </w:t>
            </w:r>
            <w:r w:rsidR="00EB48CB">
              <w:rPr>
                <w:rFonts w:cs="Arial"/>
                <w:sz w:val="20"/>
                <w:szCs w:val="20"/>
              </w:rPr>
              <w:t>and Waveney</w:t>
            </w:r>
            <w:r w:rsidR="00504AE3">
              <w:rPr>
                <w:rFonts w:cs="Arial"/>
                <w:sz w:val="20"/>
                <w:szCs w:val="20"/>
              </w:rPr>
              <w:t xml:space="preserve"> </w:t>
            </w:r>
            <w:r w:rsidR="00EB48CB">
              <w:rPr>
                <w:rFonts w:cs="Arial"/>
                <w:sz w:val="20"/>
                <w:szCs w:val="20"/>
              </w:rPr>
              <w:t xml:space="preserve">GP </w:t>
            </w:r>
            <w:r w:rsidR="00504AE3">
              <w:rPr>
                <w:rFonts w:cs="Arial"/>
                <w:sz w:val="20"/>
                <w:szCs w:val="20"/>
              </w:rPr>
              <w:t>Practice</w:t>
            </w:r>
            <w:r w:rsidR="00EB48CB">
              <w:rPr>
                <w:rFonts w:cs="Arial"/>
                <w:sz w:val="20"/>
                <w:szCs w:val="20"/>
              </w:rPr>
              <w:t>s</w:t>
            </w:r>
            <w:r w:rsidR="00F62369" w:rsidRPr="002B1816">
              <w:rPr>
                <w:rFonts w:cs="Arial"/>
                <w:sz w:val="20"/>
                <w:szCs w:val="20"/>
              </w:rPr>
              <w:t>.</w:t>
            </w:r>
          </w:p>
          <w:p w14:paraId="7A2123D9" w14:textId="17569AEE" w:rsidR="00B7034F" w:rsidRDefault="004536B9" w:rsidP="002B1816">
            <w:pPr>
              <w:rPr>
                <w:rFonts w:cs="Arial"/>
                <w:sz w:val="20"/>
                <w:szCs w:val="20"/>
              </w:rPr>
            </w:pPr>
            <w:r>
              <w:rPr>
                <w:rFonts w:cs="Arial"/>
                <w:sz w:val="20"/>
                <w:szCs w:val="20"/>
              </w:rPr>
              <w:t>The data flows covered by this protocol are as follows;</w:t>
            </w:r>
          </w:p>
          <w:p w14:paraId="7275F35F" w14:textId="3FF0CF5B" w:rsidR="00B76C2C" w:rsidRDefault="00B76C2C" w:rsidP="002B1816">
            <w:pPr>
              <w:rPr>
                <w:rFonts w:cs="Arial"/>
                <w:sz w:val="20"/>
                <w:szCs w:val="20"/>
              </w:rPr>
            </w:pPr>
          </w:p>
          <w:p w14:paraId="0C782A9F" w14:textId="597C79D5" w:rsidR="00FA2B8B" w:rsidRDefault="00FB2635" w:rsidP="00544A7D">
            <w:pPr>
              <w:pStyle w:val="ListParagraph"/>
              <w:numPr>
                <w:ilvl w:val="0"/>
                <w:numId w:val="11"/>
              </w:numPr>
              <w:rPr>
                <w:rFonts w:cs="Arial"/>
                <w:sz w:val="20"/>
                <w:szCs w:val="20"/>
              </w:rPr>
            </w:pPr>
            <w:r>
              <w:rPr>
                <w:rFonts w:cs="Arial"/>
                <w:sz w:val="20"/>
                <w:szCs w:val="20"/>
              </w:rPr>
              <w:t xml:space="preserve">The </w:t>
            </w:r>
            <w:r w:rsidR="004536B9">
              <w:rPr>
                <w:rFonts w:cs="Arial"/>
                <w:sz w:val="20"/>
                <w:szCs w:val="20"/>
              </w:rPr>
              <w:t xml:space="preserve">East Suffolk Council will </w:t>
            </w:r>
            <w:r>
              <w:rPr>
                <w:rFonts w:cs="Arial"/>
                <w:sz w:val="20"/>
                <w:szCs w:val="20"/>
              </w:rPr>
              <w:t>send a list o</w:t>
            </w:r>
            <w:r w:rsidR="00D00E4B" w:rsidRPr="00CC1EC2">
              <w:rPr>
                <w:rFonts w:cs="Arial"/>
                <w:sz w:val="20"/>
                <w:szCs w:val="20"/>
              </w:rPr>
              <w:t xml:space="preserve">f a number </w:t>
            </w:r>
            <w:r w:rsidR="00EA1790" w:rsidRPr="00CC1EC2">
              <w:rPr>
                <w:rFonts w:cs="Arial"/>
                <w:sz w:val="20"/>
                <w:szCs w:val="20"/>
              </w:rPr>
              <w:t xml:space="preserve">of homeless </w:t>
            </w:r>
            <w:r w:rsidR="00B76C2C" w:rsidRPr="00CC1EC2">
              <w:rPr>
                <w:rFonts w:cs="Arial"/>
                <w:sz w:val="20"/>
                <w:szCs w:val="20"/>
              </w:rPr>
              <w:t>patients that have been rehoused</w:t>
            </w:r>
            <w:r w:rsidR="00CC1EC2">
              <w:rPr>
                <w:rFonts w:cs="Arial"/>
                <w:sz w:val="20"/>
                <w:szCs w:val="20"/>
              </w:rPr>
              <w:t xml:space="preserve"> in the Waveney Area</w:t>
            </w:r>
            <w:r w:rsidR="00672359">
              <w:rPr>
                <w:rFonts w:cs="Arial"/>
                <w:sz w:val="20"/>
                <w:szCs w:val="20"/>
              </w:rPr>
              <w:t xml:space="preserve"> </w:t>
            </w:r>
            <w:r w:rsidR="00625CDF">
              <w:rPr>
                <w:rFonts w:cs="Arial"/>
                <w:sz w:val="20"/>
                <w:szCs w:val="20"/>
              </w:rPr>
              <w:t>(name, DOB, location at present and if registered with a practice)</w:t>
            </w:r>
          </w:p>
          <w:p w14:paraId="086AFB2C" w14:textId="0D0ECBAC" w:rsidR="00DF4347" w:rsidRDefault="00DF4347" w:rsidP="00544A7D">
            <w:pPr>
              <w:pStyle w:val="ListParagraph"/>
              <w:numPr>
                <w:ilvl w:val="0"/>
                <w:numId w:val="11"/>
              </w:numPr>
              <w:rPr>
                <w:rFonts w:cs="Arial"/>
                <w:sz w:val="20"/>
                <w:szCs w:val="20"/>
              </w:rPr>
            </w:pPr>
            <w:r>
              <w:rPr>
                <w:rFonts w:cs="Arial"/>
                <w:sz w:val="20"/>
                <w:szCs w:val="20"/>
              </w:rPr>
              <w:t xml:space="preserve">ENMP will </w:t>
            </w:r>
            <w:r w:rsidR="00AD1833">
              <w:rPr>
                <w:rFonts w:cs="Arial"/>
                <w:sz w:val="20"/>
                <w:szCs w:val="20"/>
              </w:rPr>
              <w:t>confirm</w:t>
            </w:r>
            <w:r>
              <w:rPr>
                <w:rFonts w:cs="Arial"/>
                <w:sz w:val="20"/>
                <w:szCs w:val="20"/>
              </w:rPr>
              <w:t xml:space="preserve"> whether the patient is registered with a GP Practice</w:t>
            </w:r>
          </w:p>
          <w:p w14:paraId="7FED7E10" w14:textId="2BCA1EC2" w:rsidR="00DF4347" w:rsidRDefault="00DF4347" w:rsidP="00544A7D">
            <w:pPr>
              <w:pStyle w:val="ListParagraph"/>
              <w:numPr>
                <w:ilvl w:val="0"/>
                <w:numId w:val="11"/>
              </w:numPr>
              <w:rPr>
                <w:rFonts w:cs="Arial"/>
                <w:sz w:val="20"/>
                <w:szCs w:val="20"/>
              </w:rPr>
            </w:pPr>
            <w:r>
              <w:rPr>
                <w:rFonts w:cs="Arial"/>
                <w:sz w:val="20"/>
                <w:szCs w:val="20"/>
              </w:rPr>
              <w:t xml:space="preserve">If they are </w:t>
            </w:r>
            <w:r w:rsidRPr="008A44EF">
              <w:rPr>
                <w:rFonts w:cs="Arial"/>
                <w:b/>
                <w:bCs/>
                <w:sz w:val="20"/>
                <w:szCs w:val="20"/>
              </w:rPr>
              <w:t>not</w:t>
            </w:r>
            <w:r w:rsidR="008A44EF" w:rsidRPr="008A44EF">
              <w:rPr>
                <w:rFonts w:cs="Arial"/>
                <w:b/>
                <w:bCs/>
                <w:sz w:val="20"/>
                <w:szCs w:val="20"/>
              </w:rPr>
              <w:t xml:space="preserve"> registered with a practice</w:t>
            </w:r>
            <w:r>
              <w:rPr>
                <w:rFonts w:cs="Arial"/>
                <w:sz w:val="20"/>
                <w:szCs w:val="20"/>
              </w:rPr>
              <w:t>, ENMP will triage them for COVID19 and potentially other health issues</w:t>
            </w:r>
          </w:p>
          <w:p w14:paraId="384CA75A" w14:textId="491A5493" w:rsidR="009829B4" w:rsidRDefault="00553A0E" w:rsidP="00544A7D">
            <w:pPr>
              <w:pStyle w:val="ListParagraph"/>
              <w:numPr>
                <w:ilvl w:val="0"/>
                <w:numId w:val="11"/>
              </w:numPr>
              <w:rPr>
                <w:rFonts w:cs="Arial"/>
                <w:sz w:val="20"/>
                <w:szCs w:val="20"/>
              </w:rPr>
            </w:pPr>
            <w:commentRangeStart w:id="0"/>
            <w:r>
              <w:rPr>
                <w:rFonts w:cs="Arial"/>
                <w:sz w:val="20"/>
                <w:szCs w:val="20"/>
              </w:rPr>
              <w:t>Liaise</w:t>
            </w:r>
            <w:commentRangeEnd w:id="0"/>
            <w:r w:rsidR="00465577">
              <w:rPr>
                <w:rStyle w:val="CommentReference"/>
              </w:rPr>
              <w:commentReference w:id="0"/>
            </w:r>
            <w:r>
              <w:rPr>
                <w:rFonts w:cs="Arial"/>
                <w:sz w:val="20"/>
                <w:szCs w:val="20"/>
              </w:rPr>
              <w:t xml:space="preserve"> with an appropriate practice to facilitate registration of the patient</w:t>
            </w:r>
          </w:p>
          <w:p w14:paraId="122B623F" w14:textId="291A88DE" w:rsidR="00FA0364" w:rsidRDefault="00FA0364" w:rsidP="00544A7D">
            <w:pPr>
              <w:pStyle w:val="ListParagraph"/>
              <w:numPr>
                <w:ilvl w:val="0"/>
                <w:numId w:val="11"/>
              </w:numPr>
              <w:rPr>
                <w:rFonts w:cs="Arial"/>
                <w:sz w:val="20"/>
                <w:szCs w:val="20"/>
              </w:rPr>
            </w:pPr>
            <w:r>
              <w:rPr>
                <w:rFonts w:cs="Arial"/>
                <w:sz w:val="20"/>
                <w:szCs w:val="20"/>
              </w:rPr>
              <w:t>A record of the patient is created within the ENMP S1 module. Where sharing out on both the registered practice and the ENMP module is active, both parties can view updates to each record</w:t>
            </w:r>
          </w:p>
          <w:p w14:paraId="56DE74D1" w14:textId="0104F271" w:rsidR="00C77460" w:rsidRDefault="00441ECD" w:rsidP="00544A7D">
            <w:pPr>
              <w:pStyle w:val="ListParagraph"/>
              <w:numPr>
                <w:ilvl w:val="0"/>
                <w:numId w:val="11"/>
              </w:numPr>
              <w:rPr>
                <w:rFonts w:cs="Arial"/>
                <w:sz w:val="20"/>
                <w:szCs w:val="20"/>
              </w:rPr>
            </w:pPr>
            <w:r>
              <w:rPr>
                <w:rFonts w:cs="Arial"/>
                <w:sz w:val="20"/>
                <w:szCs w:val="20"/>
              </w:rPr>
              <w:t>Maintain contact with them to build a relationship</w:t>
            </w:r>
            <w:r w:rsidR="002F75EC">
              <w:rPr>
                <w:rFonts w:cs="Arial"/>
                <w:sz w:val="20"/>
                <w:szCs w:val="20"/>
              </w:rPr>
              <w:t xml:space="preserve"> between the patient and </w:t>
            </w:r>
            <w:r>
              <w:rPr>
                <w:rFonts w:cs="Arial"/>
                <w:sz w:val="20"/>
                <w:szCs w:val="20"/>
              </w:rPr>
              <w:t>their own practice</w:t>
            </w:r>
          </w:p>
          <w:p w14:paraId="5AE18996" w14:textId="260DF6EC" w:rsidR="00FF3E4F" w:rsidRDefault="00C77460" w:rsidP="00544A7D">
            <w:pPr>
              <w:pStyle w:val="ListParagraph"/>
              <w:numPr>
                <w:ilvl w:val="0"/>
                <w:numId w:val="11"/>
              </w:numPr>
              <w:rPr>
                <w:rFonts w:cs="Arial"/>
                <w:sz w:val="20"/>
                <w:szCs w:val="20"/>
              </w:rPr>
            </w:pPr>
            <w:r>
              <w:rPr>
                <w:rFonts w:cs="Arial"/>
                <w:sz w:val="20"/>
                <w:szCs w:val="20"/>
              </w:rPr>
              <w:lastRenderedPageBreak/>
              <w:t>L</w:t>
            </w:r>
            <w:r w:rsidR="00930C5D">
              <w:rPr>
                <w:rFonts w:cs="Arial"/>
                <w:sz w:val="20"/>
                <w:szCs w:val="20"/>
              </w:rPr>
              <w:t>ikely to come across them at outreach</w:t>
            </w:r>
            <w:r>
              <w:rPr>
                <w:rFonts w:cs="Arial"/>
                <w:sz w:val="20"/>
                <w:szCs w:val="20"/>
              </w:rPr>
              <w:t xml:space="preserve"> and may liaise with their practice on their behalf including obtaining relevant </w:t>
            </w:r>
            <w:r w:rsidR="00B55D7E">
              <w:rPr>
                <w:rFonts w:cs="Arial"/>
                <w:sz w:val="20"/>
                <w:szCs w:val="20"/>
              </w:rPr>
              <w:t>information from the practice</w:t>
            </w:r>
          </w:p>
          <w:p w14:paraId="024B5596" w14:textId="77777777" w:rsidR="008A44EF" w:rsidRDefault="008A44EF" w:rsidP="008A44EF">
            <w:pPr>
              <w:ind w:left="360"/>
              <w:rPr>
                <w:rFonts w:cs="Arial"/>
                <w:sz w:val="20"/>
                <w:szCs w:val="20"/>
              </w:rPr>
            </w:pPr>
          </w:p>
          <w:p w14:paraId="4C9D8BB5" w14:textId="42A6F12E" w:rsidR="009829B4" w:rsidRPr="008A44EF" w:rsidRDefault="009829B4" w:rsidP="00544A7D">
            <w:pPr>
              <w:pStyle w:val="ListParagraph"/>
              <w:numPr>
                <w:ilvl w:val="0"/>
                <w:numId w:val="11"/>
              </w:numPr>
              <w:rPr>
                <w:rFonts w:cs="Arial"/>
                <w:sz w:val="20"/>
                <w:szCs w:val="20"/>
              </w:rPr>
            </w:pPr>
            <w:r w:rsidRPr="008A44EF">
              <w:rPr>
                <w:rFonts w:cs="Arial"/>
                <w:sz w:val="20"/>
                <w:szCs w:val="20"/>
              </w:rPr>
              <w:t xml:space="preserve">If they </w:t>
            </w:r>
            <w:r w:rsidRPr="008A44EF">
              <w:rPr>
                <w:rFonts w:cs="Arial"/>
                <w:b/>
                <w:bCs/>
                <w:sz w:val="20"/>
                <w:szCs w:val="20"/>
              </w:rPr>
              <w:t>are registered</w:t>
            </w:r>
            <w:r w:rsidR="008A44EF" w:rsidRPr="008A44EF">
              <w:rPr>
                <w:rFonts w:cs="Arial"/>
                <w:b/>
                <w:bCs/>
                <w:sz w:val="20"/>
                <w:szCs w:val="20"/>
              </w:rPr>
              <w:t xml:space="preserve"> with a practice</w:t>
            </w:r>
            <w:r w:rsidRPr="008A44EF">
              <w:rPr>
                <w:rFonts w:cs="Arial"/>
                <w:sz w:val="20"/>
                <w:szCs w:val="20"/>
              </w:rPr>
              <w:t>, ENMP will contact the patient and make an introduction and undertake a COVID19 triage</w:t>
            </w:r>
            <w:r w:rsidR="00B55D7E">
              <w:rPr>
                <w:rFonts w:cs="Arial"/>
                <w:sz w:val="20"/>
                <w:szCs w:val="20"/>
              </w:rPr>
              <w:t xml:space="preserve"> and potentially</w:t>
            </w:r>
            <w:r w:rsidR="002F75EC">
              <w:rPr>
                <w:rFonts w:cs="Arial"/>
                <w:sz w:val="20"/>
                <w:szCs w:val="20"/>
              </w:rPr>
              <w:t xml:space="preserve"> identify</w:t>
            </w:r>
            <w:r w:rsidR="00B55D7E">
              <w:rPr>
                <w:rFonts w:cs="Arial"/>
                <w:sz w:val="20"/>
                <w:szCs w:val="20"/>
              </w:rPr>
              <w:t xml:space="preserve"> other health issues</w:t>
            </w:r>
          </w:p>
          <w:p w14:paraId="2400F999" w14:textId="74CF539F" w:rsidR="009829B4" w:rsidRDefault="009829B4" w:rsidP="00544A7D">
            <w:pPr>
              <w:pStyle w:val="ListParagraph"/>
              <w:numPr>
                <w:ilvl w:val="0"/>
                <w:numId w:val="11"/>
              </w:numPr>
              <w:rPr>
                <w:rFonts w:cs="Arial"/>
                <w:sz w:val="20"/>
                <w:szCs w:val="20"/>
              </w:rPr>
            </w:pPr>
            <w:r>
              <w:rPr>
                <w:rFonts w:cs="Arial"/>
                <w:sz w:val="20"/>
                <w:szCs w:val="20"/>
              </w:rPr>
              <w:t>Contact their registered practice and check that they are engaged</w:t>
            </w:r>
          </w:p>
          <w:p w14:paraId="50C7FDBC" w14:textId="014AF275" w:rsidR="00521202" w:rsidRPr="00521202" w:rsidRDefault="00521202" w:rsidP="00521202">
            <w:pPr>
              <w:pStyle w:val="ListParagraph"/>
              <w:numPr>
                <w:ilvl w:val="0"/>
                <w:numId w:val="11"/>
              </w:numPr>
              <w:rPr>
                <w:rFonts w:cs="Arial"/>
                <w:sz w:val="20"/>
                <w:szCs w:val="20"/>
              </w:rPr>
            </w:pPr>
            <w:r>
              <w:rPr>
                <w:rFonts w:cs="Arial"/>
                <w:sz w:val="20"/>
                <w:szCs w:val="20"/>
              </w:rPr>
              <w:t>A record of the patient is created within the ENMP S1 module. Where sharing out on both the registered practice and the ENMP module is active, both parties can view updates to each record</w:t>
            </w:r>
          </w:p>
          <w:p w14:paraId="55A36656" w14:textId="77777777" w:rsidR="00544A7D" w:rsidRDefault="00544A7D" w:rsidP="00544A7D">
            <w:pPr>
              <w:pStyle w:val="ListParagraph"/>
              <w:numPr>
                <w:ilvl w:val="0"/>
                <w:numId w:val="11"/>
              </w:numPr>
              <w:rPr>
                <w:rFonts w:cs="Arial"/>
                <w:sz w:val="20"/>
                <w:szCs w:val="20"/>
              </w:rPr>
            </w:pPr>
            <w:r>
              <w:rPr>
                <w:rFonts w:cs="Arial"/>
                <w:sz w:val="20"/>
                <w:szCs w:val="20"/>
              </w:rPr>
              <w:t>Maintain contact with them to build a relationship with their own practice</w:t>
            </w:r>
          </w:p>
          <w:p w14:paraId="7899CC34" w14:textId="77777777" w:rsidR="00544A7D" w:rsidRDefault="00544A7D" w:rsidP="00544A7D">
            <w:pPr>
              <w:pStyle w:val="ListParagraph"/>
              <w:numPr>
                <w:ilvl w:val="0"/>
                <w:numId w:val="11"/>
              </w:numPr>
              <w:rPr>
                <w:rFonts w:cs="Arial"/>
                <w:sz w:val="20"/>
                <w:szCs w:val="20"/>
              </w:rPr>
            </w:pPr>
            <w:r>
              <w:rPr>
                <w:rFonts w:cs="Arial"/>
                <w:sz w:val="20"/>
                <w:szCs w:val="20"/>
              </w:rPr>
              <w:t>Likely to come across them at outreach and may liaise with their practice on their behalf including obtaining relevant information from the practice</w:t>
            </w:r>
          </w:p>
          <w:p w14:paraId="3A4DCC4D" w14:textId="77777777" w:rsidR="00544A7D" w:rsidRDefault="00544A7D" w:rsidP="00544A7D">
            <w:pPr>
              <w:pStyle w:val="ListParagraph"/>
              <w:pBdr>
                <w:bottom w:val="single" w:sz="12" w:space="1" w:color="auto"/>
              </w:pBdr>
              <w:rPr>
                <w:rFonts w:cs="Arial"/>
                <w:sz w:val="20"/>
                <w:szCs w:val="20"/>
              </w:rPr>
            </w:pPr>
          </w:p>
          <w:p w14:paraId="3777335F" w14:textId="77777777" w:rsidR="00776847" w:rsidRDefault="00776847" w:rsidP="00394C30">
            <w:pPr>
              <w:ind w:left="360"/>
              <w:rPr>
                <w:rFonts w:cs="Arial"/>
                <w:sz w:val="20"/>
                <w:szCs w:val="20"/>
              </w:rPr>
            </w:pPr>
          </w:p>
          <w:p w14:paraId="5DCE2FD1" w14:textId="54BEE434" w:rsidR="00394C30" w:rsidRDefault="00394C30" w:rsidP="00544A7D">
            <w:pPr>
              <w:pStyle w:val="ListParagraph"/>
              <w:numPr>
                <w:ilvl w:val="0"/>
                <w:numId w:val="11"/>
              </w:numPr>
              <w:rPr>
                <w:rFonts w:cs="Arial"/>
                <w:sz w:val="20"/>
                <w:szCs w:val="20"/>
              </w:rPr>
            </w:pPr>
            <w:r w:rsidRPr="003B08A6">
              <w:rPr>
                <w:rFonts w:cs="Arial"/>
                <w:sz w:val="20"/>
                <w:szCs w:val="20"/>
              </w:rPr>
              <w:t xml:space="preserve">In either example, the </w:t>
            </w:r>
            <w:r w:rsidR="00C053C8" w:rsidRPr="003B08A6">
              <w:rPr>
                <w:rFonts w:cs="Arial"/>
                <w:sz w:val="20"/>
                <w:szCs w:val="20"/>
              </w:rPr>
              <w:t xml:space="preserve">triage may result in positive symptoms or indicators of COVID19 </w:t>
            </w:r>
          </w:p>
          <w:p w14:paraId="3A458D7C" w14:textId="75C96FE1" w:rsidR="003B08A6" w:rsidRDefault="00A91F36" w:rsidP="00544A7D">
            <w:pPr>
              <w:pStyle w:val="ListParagraph"/>
              <w:numPr>
                <w:ilvl w:val="0"/>
                <w:numId w:val="11"/>
              </w:numPr>
              <w:rPr>
                <w:rFonts w:cs="Arial"/>
                <w:sz w:val="20"/>
                <w:szCs w:val="20"/>
              </w:rPr>
            </w:pPr>
            <w:r>
              <w:rPr>
                <w:rFonts w:cs="Arial"/>
                <w:sz w:val="20"/>
                <w:szCs w:val="20"/>
              </w:rPr>
              <w:t>The patient will be referred to the relevant hot site for treatment</w:t>
            </w:r>
          </w:p>
          <w:p w14:paraId="4BD5FB6E" w14:textId="4FC3D0D8" w:rsidR="0048581B" w:rsidRDefault="007D1670" w:rsidP="00544A7D">
            <w:pPr>
              <w:pStyle w:val="ListParagraph"/>
              <w:numPr>
                <w:ilvl w:val="0"/>
                <w:numId w:val="11"/>
              </w:numPr>
              <w:rPr>
                <w:rFonts w:cs="Arial"/>
                <w:sz w:val="20"/>
                <w:szCs w:val="20"/>
              </w:rPr>
            </w:pPr>
            <w:r>
              <w:rPr>
                <w:rFonts w:cs="Arial"/>
                <w:sz w:val="20"/>
                <w:szCs w:val="20"/>
              </w:rPr>
              <w:t xml:space="preserve">Patient will be referred for testing in accordance with the </w:t>
            </w:r>
            <w:r w:rsidR="00A466B0">
              <w:rPr>
                <w:rFonts w:cs="Arial"/>
                <w:sz w:val="20"/>
                <w:szCs w:val="20"/>
              </w:rPr>
              <w:t xml:space="preserve">Vulnerable Adults Testing Pathway - </w:t>
            </w:r>
            <w:commentRangeStart w:id="1"/>
            <w:r w:rsidR="00A466B0">
              <w:rPr>
                <w:rFonts w:cs="Arial"/>
                <w:sz w:val="20"/>
                <w:szCs w:val="20"/>
              </w:rPr>
              <w:fldChar w:fldCharType="begin"/>
            </w:r>
            <w:r w:rsidR="00A466B0">
              <w:rPr>
                <w:rFonts w:cs="Arial"/>
                <w:sz w:val="20"/>
                <w:szCs w:val="20"/>
              </w:rPr>
              <w:instrText xml:space="preserve"> HYPERLINK "mailto:</w:instrText>
            </w:r>
            <w:r w:rsidR="00A466B0" w:rsidRPr="0048581B">
              <w:rPr>
                <w:rFonts w:cs="Arial"/>
                <w:sz w:val="20"/>
                <w:szCs w:val="20"/>
              </w:rPr>
              <w:instrText>carehomecovidscreening@nchc.nhs.uk</w:instrText>
            </w:r>
            <w:r w:rsidR="00A466B0">
              <w:rPr>
                <w:rFonts w:cs="Arial"/>
                <w:sz w:val="20"/>
                <w:szCs w:val="20"/>
              </w:rPr>
              <w:instrText xml:space="preserve">" </w:instrText>
            </w:r>
            <w:r w:rsidR="00A466B0">
              <w:rPr>
                <w:rFonts w:cs="Arial"/>
                <w:sz w:val="20"/>
                <w:szCs w:val="20"/>
              </w:rPr>
              <w:fldChar w:fldCharType="separate"/>
            </w:r>
            <w:r w:rsidR="00A466B0" w:rsidRPr="009B1578">
              <w:rPr>
                <w:rStyle w:val="Hyperlink"/>
                <w:rFonts w:cs="Arial"/>
                <w:sz w:val="20"/>
                <w:szCs w:val="20"/>
              </w:rPr>
              <w:t>carehomecovidscreening@nchc.nhs.uk</w:t>
            </w:r>
            <w:r w:rsidR="00A466B0">
              <w:rPr>
                <w:rFonts w:cs="Arial"/>
                <w:sz w:val="20"/>
                <w:szCs w:val="20"/>
              </w:rPr>
              <w:fldChar w:fldCharType="end"/>
            </w:r>
            <w:commentRangeEnd w:id="1"/>
            <w:r w:rsidR="003224B2">
              <w:rPr>
                <w:rStyle w:val="CommentReference"/>
              </w:rPr>
              <w:commentReference w:id="1"/>
            </w:r>
          </w:p>
          <w:p w14:paraId="504C711E" w14:textId="487292B9" w:rsidR="00A466B0" w:rsidRDefault="00944897" w:rsidP="00544A7D">
            <w:pPr>
              <w:pStyle w:val="ListParagraph"/>
              <w:numPr>
                <w:ilvl w:val="0"/>
                <w:numId w:val="11"/>
              </w:numPr>
              <w:rPr>
                <w:rFonts w:cs="Arial"/>
                <w:sz w:val="20"/>
                <w:szCs w:val="20"/>
              </w:rPr>
            </w:pPr>
            <w:r>
              <w:rPr>
                <w:rFonts w:cs="Arial"/>
                <w:sz w:val="20"/>
                <w:szCs w:val="20"/>
              </w:rPr>
              <w:t xml:space="preserve">ENMP will discuss their results with their </w:t>
            </w:r>
            <w:commentRangeStart w:id="2"/>
            <w:r>
              <w:rPr>
                <w:rFonts w:cs="Arial"/>
                <w:sz w:val="20"/>
                <w:szCs w:val="20"/>
              </w:rPr>
              <w:t>practice</w:t>
            </w:r>
            <w:commentRangeEnd w:id="2"/>
            <w:r w:rsidR="00141CB9">
              <w:rPr>
                <w:rStyle w:val="CommentReference"/>
              </w:rPr>
              <w:commentReference w:id="2"/>
            </w:r>
          </w:p>
          <w:p w14:paraId="6E73A3F0" w14:textId="3136BA9D" w:rsidR="002B2384" w:rsidRDefault="002B2384" w:rsidP="002B2384">
            <w:pPr>
              <w:pBdr>
                <w:bottom w:val="single" w:sz="12" w:space="1" w:color="auto"/>
              </w:pBdr>
              <w:rPr>
                <w:rFonts w:cs="Arial"/>
                <w:sz w:val="20"/>
                <w:szCs w:val="20"/>
              </w:rPr>
            </w:pPr>
          </w:p>
          <w:p w14:paraId="444BE652" w14:textId="6F667756" w:rsidR="002B2384" w:rsidRDefault="002B2384" w:rsidP="002B2384">
            <w:pPr>
              <w:rPr>
                <w:rFonts w:cs="Arial"/>
                <w:sz w:val="20"/>
                <w:szCs w:val="20"/>
              </w:rPr>
            </w:pPr>
          </w:p>
          <w:p w14:paraId="48FD1826" w14:textId="3925943B" w:rsidR="002B2384" w:rsidRDefault="002B2384" w:rsidP="00905FE9">
            <w:pPr>
              <w:pStyle w:val="ListParagraph"/>
              <w:numPr>
                <w:ilvl w:val="0"/>
                <w:numId w:val="11"/>
              </w:numPr>
              <w:rPr>
                <w:rFonts w:cs="Arial"/>
                <w:sz w:val="20"/>
                <w:szCs w:val="20"/>
              </w:rPr>
            </w:pPr>
            <w:proofErr w:type="gramStart"/>
            <w:r w:rsidRPr="00905FE9">
              <w:rPr>
                <w:rFonts w:cs="Arial"/>
                <w:sz w:val="20"/>
                <w:szCs w:val="20"/>
              </w:rPr>
              <w:t>In the event that</w:t>
            </w:r>
            <w:proofErr w:type="gramEnd"/>
            <w:r w:rsidRPr="00905FE9">
              <w:rPr>
                <w:rFonts w:cs="Arial"/>
                <w:sz w:val="20"/>
                <w:szCs w:val="20"/>
              </w:rPr>
              <w:t xml:space="preserve"> patients cannot be directly contacted</w:t>
            </w:r>
            <w:r w:rsidR="00905FE9" w:rsidRPr="00905FE9">
              <w:rPr>
                <w:rFonts w:cs="Arial"/>
                <w:sz w:val="20"/>
                <w:szCs w:val="20"/>
              </w:rPr>
              <w:t xml:space="preserve">, ENMP </w:t>
            </w:r>
            <w:r w:rsidR="00905FE9">
              <w:rPr>
                <w:rFonts w:cs="Arial"/>
                <w:sz w:val="20"/>
                <w:szCs w:val="20"/>
              </w:rPr>
              <w:t>will liaise with other relevant bodies as described below, to locate and support the patient</w:t>
            </w:r>
          </w:p>
          <w:p w14:paraId="71B460BD" w14:textId="5EE691A1" w:rsidR="00905FE9" w:rsidRDefault="00905FE9" w:rsidP="00905FE9">
            <w:pPr>
              <w:rPr>
                <w:rFonts w:cs="Arial"/>
                <w:sz w:val="20"/>
                <w:szCs w:val="20"/>
              </w:rPr>
            </w:pPr>
          </w:p>
          <w:p w14:paraId="4E6DBB1C" w14:textId="3886C83A" w:rsidR="00905FE9" w:rsidRPr="008C6EB4" w:rsidRDefault="00905FE9" w:rsidP="00905FE9">
            <w:pPr>
              <w:rPr>
                <w:rFonts w:cs="Arial"/>
                <w:sz w:val="20"/>
                <w:szCs w:val="20"/>
                <w:highlight w:val="yellow"/>
              </w:rPr>
            </w:pPr>
            <w:r w:rsidRPr="008C6EB4">
              <w:rPr>
                <w:rFonts w:cs="Arial"/>
                <w:sz w:val="20"/>
                <w:szCs w:val="20"/>
                <w:highlight w:val="yellow"/>
              </w:rPr>
              <w:t>XXXXX</w:t>
            </w:r>
          </w:p>
          <w:p w14:paraId="7349C632" w14:textId="2F16127D" w:rsidR="00905FE9" w:rsidRDefault="00905FE9" w:rsidP="00905FE9">
            <w:pPr>
              <w:rPr>
                <w:rFonts w:cs="Arial"/>
                <w:sz w:val="20"/>
                <w:szCs w:val="20"/>
              </w:rPr>
            </w:pPr>
            <w:r w:rsidRPr="008C6EB4">
              <w:rPr>
                <w:rFonts w:cs="Arial"/>
                <w:sz w:val="20"/>
                <w:szCs w:val="20"/>
                <w:highlight w:val="yellow"/>
              </w:rPr>
              <w:t>XXXXX</w:t>
            </w:r>
          </w:p>
          <w:p w14:paraId="7CD015A8" w14:textId="77777777" w:rsidR="00905FE9" w:rsidRPr="00905FE9" w:rsidRDefault="00905FE9" w:rsidP="00905FE9">
            <w:pPr>
              <w:rPr>
                <w:rFonts w:cs="Arial"/>
                <w:sz w:val="20"/>
                <w:szCs w:val="20"/>
              </w:rPr>
            </w:pPr>
          </w:p>
          <w:p w14:paraId="1A0FC884" w14:textId="77777777" w:rsidR="00110A80" w:rsidRDefault="00110A80" w:rsidP="00C76ADF">
            <w:pPr>
              <w:pStyle w:val="ListParagraph"/>
              <w:rPr>
                <w:rFonts w:cs="Arial"/>
                <w:sz w:val="20"/>
                <w:szCs w:val="20"/>
              </w:rPr>
            </w:pPr>
          </w:p>
          <w:p w14:paraId="26DDF876" w14:textId="669E2C8D" w:rsidR="002563FD" w:rsidRPr="002563FD" w:rsidRDefault="002563FD" w:rsidP="00C17D18">
            <w:pPr>
              <w:rPr>
                <w:rFonts w:cs="Arial"/>
                <w:sz w:val="20"/>
                <w:szCs w:val="20"/>
              </w:rPr>
            </w:pPr>
            <w:bookmarkStart w:id="3" w:name="_GoBack"/>
            <w:bookmarkEnd w:id="3"/>
          </w:p>
        </w:tc>
        <w:tc>
          <w:tcPr>
            <w:tcW w:w="96" w:type="pct"/>
            <w:tcBorders>
              <w:top w:val="nil"/>
              <w:left w:val="nil"/>
              <w:bottom w:val="nil"/>
              <w:right w:val="nil"/>
            </w:tcBorders>
            <w:shd w:val="clear" w:color="000000" w:fill="FFFFFF"/>
            <w:vAlign w:val="bottom"/>
            <w:hideMark/>
          </w:tcPr>
          <w:p w14:paraId="2C91824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B7034F" w:rsidRPr="0049256C" w14:paraId="0AB65175" w14:textId="77777777" w:rsidTr="003B0710">
        <w:trPr>
          <w:trHeight w:val="88"/>
        </w:trPr>
        <w:tc>
          <w:tcPr>
            <w:tcW w:w="1427" w:type="pct"/>
            <w:gridSpan w:val="3"/>
            <w:tcBorders>
              <w:top w:val="nil"/>
              <w:left w:val="nil"/>
              <w:bottom w:val="single" w:sz="4" w:space="0" w:color="auto"/>
              <w:right w:val="nil"/>
            </w:tcBorders>
            <w:shd w:val="clear" w:color="000000" w:fill="FFFFFF"/>
            <w:vAlign w:val="center"/>
            <w:hideMark/>
          </w:tcPr>
          <w:p w14:paraId="65E9A886"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lastRenderedPageBreak/>
              <w:t> </w:t>
            </w:r>
          </w:p>
        </w:tc>
        <w:tc>
          <w:tcPr>
            <w:tcW w:w="101" w:type="pct"/>
            <w:tcBorders>
              <w:top w:val="nil"/>
              <w:left w:val="nil"/>
              <w:bottom w:val="nil"/>
              <w:right w:val="nil"/>
            </w:tcBorders>
            <w:shd w:val="clear" w:color="000000" w:fill="FFFFFF"/>
            <w:vAlign w:val="center"/>
            <w:hideMark/>
          </w:tcPr>
          <w:p w14:paraId="4FF31311"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B2F4CB7"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209EE4A5" w14:textId="77777777" w:rsidR="00B7034F" w:rsidRPr="0049256C" w:rsidRDefault="00B7034F" w:rsidP="003B0710">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B7034F" w:rsidRPr="0049256C" w14:paraId="78083921" w14:textId="77777777" w:rsidTr="003B0710">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0F5F9BDF"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61EB6D7C"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78271420" w14:textId="1EB61750" w:rsidR="00F902BE" w:rsidRDefault="003D3143" w:rsidP="00F902BE">
            <w:pPr>
              <w:rPr>
                <w:rFonts w:cs="Arial"/>
                <w:sz w:val="20"/>
                <w:szCs w:val="20"/>
              </w:rPr>
            </w:pPr>
            <w:r>
              <w:rPr>
                <w:rFonts w:cs="Arial"/>
                <w:sz w:val="20"/>
                <w:szCs w:val="20"/>
              </w:rPr>
              <w:t xml:space="preserve">Initial list from East Suffolk Council to include; </w:t>
            </w:r>
            <w:r>
              <w:rPr>
                <w:rFonts w:cs="Arial"/>
                <w:sz w:val="20"/>
                <w:szCs w:val="20"/>
              </w:rPr>
              <w:t>name, DOB, location at present and if registered with a practice</w:t>
            </w:r>
          </w:p>
          <w:p w14:paraId="4AA928D6" w14:textId="11091DC0" w:rsidR="003D3143" w:rsidRDefault="003D3143" w:rsidP="00F902BE">
            <w:pPr>
              <w:rPr>
                <w:rFonts w:cs="Arial"/>
                <w:sz w:val="20"/>
                <w:szCs w:val="20"/>
              </w:rPr>
            </w:pPr>
            <w:r>
              <w:rPr>
                <w:rFonts w:cs="Arial"/>
                <w:sz w:val="20"/>
                <w:szCs w:val="20"/>
              </w:rPr>
              <w:t>Conversations with the patient will result in their disclosure of information as appropriate to their wishes</w:t>
            </w:r>
          </w:p>
          <w:p w14:paraId="25C70FDD" w14:textId="35564D7D" w:rsidR="003D3143" w:rsidRDefault="00E5137F" w:rsidP="00F902BE">
            <w:pPr>
              <w:rPr>
                <w:rFonts w:cs="Arial"/>
                <w:sz w:val="20"/>
                <w:szCs w:val="20"/>
              </w:rPr>
            </w:pPr>
            <w:r>
              <w:rPr>
                <w:rFonts w:cs="Arial"/>
                <w:sz w:val="20"/>
                <w:szCs w:val="20"/>
              </w:rPr>
              <w:t xml:space="preserve">Conversations with the practice will result in disclosures of personal and sensitive information that will vary according to their </w:t>
            </w:r>
            <w:r w:rsidR="00802EB2">
              <w:rPr>
                <w:rFonts w:cs="Arial"/>
                <w:sz w:val="20"/>
                <w:szCs w:val="20"/>
              </w:rPr>
              <w:t>circumstances</w:t>
            </w:r>
            <w:r>
              <w:rPr>
                <w:rFonts w:cs="Arial"/>
                <w:sz w:val="20"/>
                <w:szCs w:val="20"/>
              </w:rPr>
              <w:t xml:space="preserve"> and need but will be the minimum necessary to achieve the desired purpose</w:t>
            </w:r>
            <w:r w:rsidR="0095755D">
              <w:rPr>
                <w:rFonts w:cs="Arial"/>
                <w:sz w:val="20"/>
                <w:szCs w:val="20"/>
              </w:rPr>
              <w:t xml:space="preserve"> (likely to involve diagnosis</w:t>
            </w:r>
            <w:r w:rsidR="007D2591">
              <w:rPr>
                <w:rFonts w:cs="Arial"/>
                <w:sz w:val="20"/>
                <w:szCs w:val="20"/>
              </w:rPr>
              <w:t xml:space="preserve"> and</w:t>
            </w:r>
            <w:r w:rsidR="0095755D">
              <w:rPr>
                <w:rFonts w:cs="Arial"/>
                <w:sz w:val="20"/>
                <w:szCs w:val="20"/>
              </w:rPr>
              <w:t xml:space="preserve"> medication</w:t>
            </w:r>
            <w:r w:rsidR="007D2591">
              <w:rPr>
                <w:rFonts w:cs="Arial"/>
                <w:sz w:val="20"/>
                <w:szCs w:val="20"/>
              </w:rPr>
              <w:t>)</w:t>
            </w:r>
          </w:p>
          <w:p w14:paraId="140F88EB" w14:textId="48AA50C4" w:rsidR="005717BD" w:rsidRDefault="00F3258E" w:rsidP="00F902BE">
            <w:pPr>
              <w:rPr>
                <w:rFonts w:cs="Arial"/>
                <w:sz w:val="20"/>
                <w:szCs w:val="20"/>
              </w:rPr>
            </w:pPr>
            <w:r>
              <w:rPr>
                <w:rFonts w:cs="Arial"/>
                <w:sz w:val="20"/>
                <w:szCs w:val="20"/>
              </w:rPr>
              <w:t>Referral for testing will involve completion of a predefined request form that has been established by another Data Controller (the testing body)</w:t>
            </w:r>
          </w:p>
          <w:p w14:paraId="700FAD12" w14:textId="7316D729" w:rsidR="007D2591" w:rsidRDefault="002521B0" w:rsidP="00F902BE">
            <w:pPr>
              <w:rPr>
                <w:rFonts w:cs="Arial"/>
                <w:sz w:val="20"/>
                <w:szCs w:val="20"/>
              </w:rPr>
            </w:pPr>
            <w:r>
              <w:rPr>
                <w:rFonts w:cs="Arial"/>
                <w:sz w:val="20"/>
                <w:szCs w:val="20"/>
              </w:rPr>
              <w:t>ENMP will require reporting on performance and quality but this will be aggregated statistical data (non</w:t>
            </w:r>
            <w:r w:rsidR="00F3258E">
              <w:rPr>
                <w:rFonts w:cs="Arial"/>
                <w:sz w:val="20"/>
                <w:szCs w:val="20"/>
              </w:rPr>
              <w:t>-</w:t>
            </w:r>
            <w:r>
              <w:rPr>
                <w:rFonts w:cs="Arial"/>
                <w:sz w:val="20"/>
                <w:szCs w:val="20"/>
              </w:rPr>
              <w:t>personal)</w:t>
            </w:r>
          </w:p>
          <w:p w14:paraId="245D2E71" w14:textId="504617F9" w:rsidR="00776847" w:rsidRPr="00C2147F" w:rsidRDefault="00776847" w:rsidP="00776847">
            <w:pPr>
              <w:spacing w:after="160" w:line="259" w:lineRule="auto"/>
              <w:rPr>
                <w:rFonts w:cs="Arial"/>
                <w:sz w:val="20"/>
                <w:szCs w:val="20"/>
              </w:rPr>
            </w:pPr>
          </w:p>
          <w:p w14:paraId="5E31E742" w14:textId="5472CF31" w:rsidR="00A41DCB" w:rsidRPr="00C2147F" w:rsidRDefault="00A41DCB" w:rsidP="00C2147F">
            <w:pPr>
              <w:spacing w:after="160" w:line="259" w:lineRule="auto"/>
              <w:rPr>
                <w:rFonts w:cs="Arial"/>
                <w:sz w:val="20"/>
                <w:szCs w:val="20"/>
              </w:rPr>
            </w:pPr>
          </w:p>
        </w:tc>
        <w:tc>
          <w:tcPr>
            <w:tcW w:w="96" w:type="pct"/>
            <w:tcBorders>
              <w:top w:val="nil"/>
              <w:left w:val="nil"/>
              <w:bottom w:val="nil"/>
              <w:right w:val="nil"/>
            </w:tcBorders>
            <w:shd w:val="clear" w:color="000000" w:fill="FFFFFF"/>
            <w:vAlign w:val="bottom"/>
            <w:hideMark/>
          </w:tcPr>
          <w:p w14:paraId="3B81A79E"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DEF390A" w14:textId="77777777" w:rsidTr="003B0710">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6E8493E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6F2C15DB"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094F7144" w14:textId="77777777" w:rsidR="00B7034F" w:rsidRPr="00162A47" w:rsidRDefault="00B7034F" w:rsidP="003B0710">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47B8F72C" w14:textId="77777777" w:rsidR="00B7034F" w:rsidRPr="0049256C" w:rsidRDefault="00B7034F" w:rsidP="003B0710">
            <w:pPr>
              <w:spacing w:line="240" w:lineRule="auto"/>
              <w:jc w:val="center"/>
              <w:rPr>
                <w:rFonts w:cs="Calibri"/>
                <w:color w:val="000000"/>
                <w:szCs w:val="22"/>
                <w:lang w:eastAsia="en-GB"/>
              </w:rPr>
            </w:pPr>
            <w:r w:rsidRPr="0049256C">
              <w:rPr>
                <w:rFonts w:cs="Calibri"/>
                <w:color w:val="000000"/>
                <w:szCs w:val="22"/>
                <w:lang w:eastAsia="en-GB"/>
              </w:rPr>
              <w:t> </w:t>
            </w:r>
          </w:p>
        </w:tc>
      </w:tr>
      <w:tr w:rsidR="00B7034F" w:rsidRPr="0049256C" w14:paraId="1CDF122F" w14:textId="77777777" w:rsidTr="003B0710">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D6BF73E"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1</w:t>
            </w:r>
          </w:p>
        </w:tc>
        <w:tc>
          <w:tcPr>
            <w:tcW w:w="101" w:type="pct"/>
            <w:tcBorders>
              <w:top w:val="nil"/>
              <w:left w:val="nil"/>
              <w:bottom w:val="nil"/>
              <w:right w:val="nil"/>
            </w:tcBorders>
            <w:shd w:val="clear" w:color="000000" w:fill="FFFFFF"/>
            <w:noWrap/>
            <w:vAlign w:val="center"/>
            <w:hideMark/>
          </w:tcPr>
          <w:p w14:paraId="31F8F1B9"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1C94D40" w14:textId="580A31BB" w:rsidR="00CF3C11" w:rsidRDefault="00A41DCB" w:rsidP="00C2147F">
            <w:pPr>
              <w:jc w:val="center"/>
              <w:rPr>
                <w:rFonts w:cs="Arial"/>
                <w:sz w:val="20"/>
                <w:szCs w:val="20"/>
              </w:rPr>
            </w:pPr>
            <w:r>
              <w:rPr>
                <w:rFonts w:cs="Arial"/>
                <w:sz w:val="20"/>
                <w:szCs w:val="20"/>
              </w:rPr>
              <w:t>NHS Mail</w:t>
            </w:r>
          </w:p>
          <w:p w14:paraId="5C3A0218" w14:textId="77777777" w:rsidR="00B7034F" w:rsidRPr="000F0BBD" w:rsidRDefault="00B7034F" w:rsidP="003C27E3">
            <w:pPr>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386F3207"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7E5C4D8F"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C94E2C" w14:textId="77777777" w:rsidR="00B7034F" w:rsidRPr="009A6EAE" w:rsidRDefault="00B7034F" w:rsidP="003B0710">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29C8B132" w14:textId="77777777" w:rsidR="00B7034F" w:rsidRPr="009A6EAE" w:rsidRDefault="00B7034F" w:rsidP="003B0710">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42A262" w14:textId="125FAF47" w:rsidR="00B7034F" w:rsidRPr="000F0BBD" w:rsidRDefault="00D83739" w:rsidP="003B0710">
            <w:pPr>
              <w:spacing w:line="240" w:lineRule="auto"/>
              <w:jc w:val="center"/>
              <w:rPr>
                <w:rFonts w:cs="Calibri"/>
                <w:color w:val="000000"/>
                <w:sz w:val="20"/>
                <w:szCs w:val="20"/>
                <w:lang w:eastAsia="en-GB"/>
              </w:rPr>
            </w:pPr>
            <w:r>
              <w:rPr>
                <w:rFonts w:cs="Calibri"/>
                <w:color w:val="000000"/>
                <w:sz w:val="20"/>
                <w:szCs w:val="20"/>
                <w:lang w:eastAsia="en-GB"/>
              </w:rPr>
              <w:t>Telephone and Direct Clinical System Transfers</w:t>
            </w:r>
          </w:p>
        </w:tc>
      </w:tr>
      <w:tr w:rsidR="00B7034F" w:rsidRPr="0049256C" w14:paraId="017B20FE" w14:textId="77777777" w:rsidTr="003B0710">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36185D7D"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5FC745AC"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8B956" w14:textId="4651EA75" w:rsidR="00B7034F" w:rsidRDefault="00B7034F" w:rsidP="003B0710">
            <w:pPr>
              <w:spacing w:line="240" w:lineRule="auto"/>
              <w:jc w:val="center"/>
              <w:rPr>
                <w:rFonts w:cs="Calibri"/>
                <w:color w:val="000000"/>
                <w:sz w:val="20"/>
                <w:szCs w:val="20"/>
                <w:lang w:eastAsia="en-GB"/>
              </w:rPr>
            </w:pPr>
          </w:p>
        </w:tc>
      </w:tr>
      <w:tr w:rsidR="00B7034F" w:rsidRPr="0049256C" w14:paraId="4C900632" w14:textId="77777777" w:rsidTr="003B0710">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6BAD506A" w14:textId="77777777" w:rsidR="00B7034F" w:rsidRPr="009A6EAE" w:rsidRDefault="00B7034F" w:rsidP="003B0710">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72F2EFC9"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6CE5F25F" w14:textId="77777777" w:rsidR="00B7034F" w:rsidRPr="000F0BBD" w:rsidRDefault="00B7034F" w:rsidP="003B0710">
            <w:pPr>
              <w:spacing w:line="240" w:lineRule="auto"/>
              <w:jc w:val="center"/>
              <w:rPr>
                <w:rFonts w:cs="Calibri"/>
                <w:color w:val="000000"/>
                <w:sz w:val="20"/>
                <w:szCs w:val="20"/>
                <w:lang w:eastAsia="en-GB"/>
              </w:rPr>
            </w:pPr>
          </w:p>
        </w:tc>
      </w:tr>
      <w:tr w:rsidR="00B7034F" w:rsidRPr="0049256C" w14:paraId="2BE39A66" w14:textId="77777777" w:rsidTr="00A41DCB">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4C4A845B" w14:textId="77777777" w:rsidR="00B7034F" w:rsidRPr="009A6EAE" w:rsidRDefault="00B7034F" w:rsidP="003B0710">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61C468E1" w14:textId="77777777" w:rsidR="00B7034F" w:rsidRPr="009A6EAE" w:rsidRDefault="00B7034F" w:rsidP="003B0710">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B44A8F" w14:textId="5D61E09A" w:rsidR="00FC7E2F" w:rsidRDefault="00A41DCB" w:rsidP="00CC377F">
            <w:pPr>
              <w:spacing w:line="240" w:lineRule="auto"/>
              <w:jc w:val="center"/>
              <w:rPr>
                <w:rFonts w:cs="Calibri"/>
                <w:color w:val="000000"/>
                <w:sz w:val="20"/>
                <w:szCs w:val="20"/>
                <w:lang w:eastAsia="en-GB"/>
              </w:rPr>
            </w:pPr>
            <w:r>
              <w:rPr>
                <w:rFonts w:cs="Calibri"/>
                <w:color w:val="000000"/>
                <w:sz w:val="20"/>
                <w:szCs w:val="20"/>
                <w:lang w:eastAsia="en-GB"/>
              </w:rPr>
              <w:t>Data will reside within the clinical system</w:t>
            </w:r>
          </w:p>
          <w:p w14:paraId="4296BD29" w14:textId="7FA0B7B3" w:rsidR="00BB4C1B" w:rsidRPr="000F0BBD" w:rsidRDefault="00BB4C1B" w:rsidP="00A41DCB">
            <w:pPr>
              <w:spacing w:line="240" w:lineRule="auto"/>
              <w:jc w:val="center"/>
              <w:rPr>
                <w:rFonts w:cs="Calibri"/>
                <w:color w:val="000000"/>
                <w:sz w:val="20"/>
                <w:szCs w:val="20"/>
                <w:lang w:eastAsia="en-GB"/>
              </w:rPr>
            </w:pPr>
          </w:p>
        </w:tc>
      </w:tr>
      <w:tr w:rsidR="00B7034F" w:rsidRPr="0049256C" w14:paraId="518E9E2E" w14:textId="77777777" w:rsidTr="003B0710">
        <w:trPr>
          <w:gridAfter w:val="7"/>
          <w:wAfter w:w="4861" w:type="pct"/>
          <w:trHeight w:val="503"/>
        </w:trPr>
        <w:tc>
          <w:tcPr>
            <w:tcW w:w="139" w:type="pct"/>
            <w:tcBorders>
              <w:top w:val="nil"/>
              <w:left w:val="nil"/>
              <w:bottom w:val="nil"/>
              <w:right w:val="nil"/>
            </w:tcBorders>
            <w:shd w:val="clear" w:color="000000" w:fill="FFFFFF"/>
            <w:vAlign w:val="center"/>
            <w:hideMark/>
          </w:tcPr>
          <w:p w14:paraId="55A6FFFD" w14:textId="77777777" w:rsidR="00B7034F" w:rsidRPr="007E795B" w:rsidRDefault="00B7034F" w:rsidP="003B0710">
            <w:pPr>
              <w:spacing w:line="240" w:lineRule="auto"/>
              <w:jc w:val="center"/>
              <w:rPr>
                <w:rFonts w:cs="Calibri"/>
                <w:color w:val="000000"/>
                <w:sz w:val="4"/>
                <w:szCs w:val="4"/>
                <w:lang w:eastAsia="en-GB"/>
              </w:rPr>
            </w:pPr>
          </w:p>
          <w:p w14:paraId="02B76AF3" w14:textId="77777777" w:rsidR="00B7034F" w:rsidRPr="007E795B" w:rsidRDefault="00B7034F" w:rsidP="003B0710">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B7034F" w:rsidRPr="0049256C" w14:paraId="01C8E422"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67572380" w14:textId="77777777" w:rsidR="00B7034F" w:rsidRPr="0049256C"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4F9DFB6"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1080668" w14:textId="77777777" w:rsidR="00B7034F" w:rsidRPr="00D4670D" w:rsidRDefault="00B7034F" w:rsidP="003B0710">
            <w:pPr>
              <w:spacing w:line="240" w:lineRule="auto"/>
              <w:rPr>
                <w:rFonts w:cs="Calibri"/>
                <w:color w:val="000000"/>
                <w:sz w:val="10"/>
                <w:szCs w:val="10"/>
                <w:lang w:eastAsia="en-GB"/>
              </w:rPr>
            </w:pPr>
          </w:p>
          <w:p w14:paraId="3F294711" w14:textId="63F22BA6" w:rsidR="003C2611" w:rsidRDefault="000672F3" w:rsidP="003C2611">
            <w:pPr>
              <w:spacing w:after="160" w:line="259" w:lineRule="auto"/>
              <w:jc w:val="center"/>
              <w:rPr>
                <w:rFonts w:eastAsia="Calibri" w:cs="Arial"/>
                <w:sz w:val="20"/>
                <w:szCs w:val="20"/>
              </w:rPr>
            </w:pPr>
            <w:r>
              <w:rPr>
                <w:rFonts w:eastAsia="Calibri" w:cs="Arial"/>
                <w:sz w:val="20"/>
                <w:szCs w:val="20"/>
              </w:rPr>
              <w:t>Data will be retained in accordance with DH Records Management Code of Practice</w:t>
            </w:r>
          </w:p>
          <w:p w14:paraId="360647E5" w14:textId="77777777" w:rsidR="00B7034F" w:rsidRPr="00D4670D" w:rsidRDefault="00B7034F" w:rsidP="003B0710">
            <w:pPr>
              <w:spacing w:line="240" w:lineRule="auto"/>
              <w:jc w:val="center"/>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2A00F522"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971899C" w14:textId="77777777" w:rsidTr="003B0710">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12E4AA78" w14:textId="77777777" w:rsidR="00B7034F" w:rsidRPr="0049256C" w:rsidRDefault="00B7034F" w:rsidP="003B0710">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696C8753" w14:textId="77777777" w:rsidR="00B7034F" w:rsidRPr="0049256C" w:rsidRDefault="00B7034F" w:rsidP="003B0710">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39061CF" w14:textId="77777777" w:rsidR="00B7034F" w:rsidRDefault="00B7034F" w:rsidP="003B0710">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5504EFD4" w14:textId="77777777" w:rsidR="00B7034F" w:rsidRPr="0049256C" w:rsidRDefault="00B7034F" w:rsidP="003B0710">
            <w:pPr>
              <w:spacing w:line="240" w:lineRule="auto"/>
              <w:jc w:val="center"/>
              <w:rPr>
                <w:rFonts w:cs="Calibri"/>
                <w:color w:val="000000"/>
                <w:sz w:val="24"/>
                <w:lang w:eastAsia="en-GB"/>
              </w:rPr>
            </w:pPr>
          </w:p>
        </w:tc>
      </w:tr>
      <w:tr w:rsidR="00B7034F" w:rsidRPr="0049256C" w14:paraId="3FA1B3FC" w14:textId="77777777" w:rsidTr="003B0710">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8E73C"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778BC029"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57DD28" w14:textId="77777777" w:rsidR="00B7034F" w:rsidRPr="003869B3" w:rsidRDefault="00B7034F" w:rsidP="003B0710">
            <w:pPr>
              <w:spacing w:line="240" w:lineRule="auto"/>
              <w:rPr>
                <w:rFonts w:cs="Calibri"/>
                <w:color w:val="000000"/>
                <w:sz w:val="20"/>
                <w:szCs w:val="20"/>
                <w:lang w:eastAsia="en-GB"/>
              </w:rPr>
            </w:pPr>
          </w:p>
          <w:p w14:paraId="08968A47" w14:textId="70BD9AFB" w:rsidR="00FA0E1C" w:rsidRPr="009A6EAE" w:rsidRDefault="00B7034F" w:rsidP="006640D2">
            <w:pPr>
              <w:spacing w:line="240" w:lineRule="auto"/>
              <w:jc w:val="center"/>
              <w:rPr>
                <w:rFonts w:cs="Calibri"/>
                <w:color w:val="000000"/>
                <w:sz w:val="20"/>
                <w:szCs w:val="20"/>
                <w:lang w:eastAsia="en-GB"/>
              </w:rPr>
            </w:pPr>
            <w:r>
              <w:rPr>
                <w:rFonts w:cs="Calibri"/>
                <w:color w:val="000000"/>
                <w:sz w:val="20"/>
                <w:szCs w:val="20"/>
                <w:lang w:eastAsia="en-GB"/>
              </w:rPr>
              <w:t xml:space="preserve">The process will involve sharing information </w:t>
            </w:r>
            <w:r w:rsidR="00FA0E1C">
              <w:rPr>
                <w:rFonts w:cs="Calibri"/>
                <w:color w:val="000000"/>
                <w:sz w:val="20"/>
                <w:szCs w:val="20"/>
                <w:lang w:eastAsia="en-GB"/>
              </w:rPr>
              <w:t xml:space="preserve">between </w:t>
            </w:r>
            <w:r w:rsidR="006640D2">
              <w:rPr>
                <w:rFonts w:cs="Calibri"/>
                <w:color w:val="000000"/>
                <w:sz w:val="20"/>
                <w:szCs w:val="20"/>
                <w:lang w:eastAsia="en-GB"/>
              </w:rPr>
              <w:t xml:space="preserve">two independent </w:t>
            </w:r>
            <w:r w:rsidR="00FA0E1C">
              <w:rPr>
                <w:rFonts w:cs="Calibri"/>
                <w:color w:val="000000"/>
                <w:sz w:val="20"/>
                <w:szCs w:val="20"/>
                <w:lang w:eastAsia="en-GB"/>
              </w:rPr>
              <w:t>controllers</w:t>
            </w:r>
            <w:r>
              <w:rPr>
                <w:rFonts w:cs="Calibri"/>
                <w:color w:val="000000"/>
                <w:sz w:val="20"/>
                <w:szCs w:val="20"/>
                <w:lang w:eastAsia="en-GB"/>
              </w:rPr>
              <w:t>.</w:t>
            </w:r>
          </w:p>
        </w:tc>
        <w:tc>
          <w:tcPr>
            <w:tcW w:w="96" w:type="pct"/>
            <w:tcBorders>
              <w:top w:val="nil"/>
              <w:left w:val="nil"/>
              <w:bottom w:val="nil"/>
              <w:right w:val="nil"/>
            </w:tcBorders>
            <w:shd w:val="clear" w:color="000000" w:fill="FFFFFF"/>
            <w:vAlign w:val="center"/>
            <w:hideMark/>
          </w:tcPr>
          <w:p w14:paraId="12436C62"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49256C" w14:paraId="11D9D592" w14:textId="77777777" w:rsidTr="003B0710">
        <w:trPr>
          <w:trHeight w:val="361"/>
        </w:trPr>
        <w:tc>
          <w:tcPr>
            <w:tcW w:w="1427" w:type="pct"/>
            <w:gridSpan w:val="3"/>
            <w:tcBorders>
              <w:top w:val="single" w:sz="4" w:space="0" w:color="auto"/>
              <w:bottom w:val="single" w:sz="4" w:space="0" w:color="auto"/>
            </w:tcBorders>
            <w:shd w:val="clear" w:color="000000" w:fill="FFFFFF"/>
            <w:noWrap/>
            <w:vAlign w:val="center"/>
            <w:hideMark/>
          </w:tcPr>
          <w:p w14:paraId="39828FDB" w14:textId="77777777" w:rsidR="00B7034F" w:rsidRPr="009A6EAE" w:rsidRDefault="00B7034F" w:rsidP="003B0710">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60D59F12"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7E445F8F" w14:textId="77777777" w:rsidR="00B7034F" w:rsidRPr="009A6EAE" w:rsidRDefault="00B7034F" w:rsidP="003B0710">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012F1FA" w14:textId="77777777" w:rsidR="00B7034F" w:rsidRPr="0049256C" w:rsidRDefault="00B7034F" w:rsidP="003B0710">
            <w:pPr>
              <w:spacing w:line="240" w:lineRule="auto"/>
              <w:jc w:val="center"/>
              <w:rPr>
                <w:rFonts w:cs="Calibri"/>
                <w:color w:val="000000"/>
                <w:sz w:val="24"/>
                <w:lang w:eastAsia="en-GB"/>
              </w:rPr>
            </w:pPr>
            <w:r w:rsidRPr="0049256C">
              <w:rPr>
                <w:rFonts w:cs="Calibri"/>
                <w:color w:val="000000"/>
                <w:sz w:val="24"/>
                <w:lang w:eastAsia="en-GB"/>
              </w:rPr>
              <w:t> </w:t>
            </w:r>
          </w:p>
        </w:tc>
      </w:tr>
      <w:tr w:rsidR="00B7034F" w:rsidRPr="009A6EAE" w14:paraId="2FC597C8"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2FC08"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5AEBAF5F"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B3C214"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2948B0" w14:textId="77777777" w:rsidR="00B7034F" w:rsidRPr="001B4257" w:rsidRDefault="00B7034F" w:rsidP="003B0710">
            <w:pPr>
              <w:spacing w:line="240" w:lineRule="auto"/>
              <w:jc w:val="center"/>
              <w:rPr>
                <w:rFonts w:cs="Calibri"/>
                <w:color w:val="000000"/>
                <w:sz w:val="10"/>
                <w:szCs w:val="10"/>
                <w:lang w:eastAsia="en-GB"/>
              </w:rPr>
            </w:pPr>
          </w:p>
          <w:p w14:paraId="57D67675" w14:textId="3EE9E8B4" w:rsidR="00B7034F" w:rsidRDefault="00B7034F" w:rsidP="003B0710">
            <w:pPr>
              <w:spacing w:line="240" w:lineRule="auto"/>
              <w:jc w:val="center"/>
              <w:rPr>
                <w:rFonts w:cs="Calibri"/>
                <w:color w:val="000000"/>
                <w:sz w:val="20"/>
                <w:szCs w:val="20"/>
                <w:lang w:eastAsia="en-GB"/>
              </w:rPr>
            </w:pPr>
            <w:r w:rsidRPr="001B4257">
              <w:rPr>
                <w:rFonts w:cs="Calibri"/>
                <w:color w:val="000000"/>
                <w:sz w:val="20"/>
                <w:szCs w:val="20"/>
                <w:lang w:eastAsia="en-GB"/>
              </w:rPr>
              <w:t xml:space="preserve">In order to satisfy the common law duty of confidentiality and the data protection legislation “right to be informed” there is a requirement to ensure that </w:t>
            </w:r>
            <w:r w:rsidR="00A41DCB">
              <w:rPr>
                <w:rFonts w:cs="Calibri"/>
                <w:color w:val="000000"/>
                <w:sz w:val="20"/>
                <w:szCs w:val="20"/>
                <w:lang w:eastAsia="en-GB"/>
              </w:rPr>
              <w:t xml:space="preserve">patients </w:t>
            </w:r>
            <w:r w:rsidRPr="001B4257">
              <w:rPr>
                <w:rFonts w:cs="Calibri"/>
                <w:color w:val="000000"/>
                <w:sz w:val="20"/>
                <w:szCs w:val="20"/>
                <w:lang w:eastAsia="en-GB"/>
              </w:rPr>
              <w:t xml:space="preserve">are provided with </w:t>
            </w:r>
            <w:proofErr w:type="gramStart"/>
            <w:r w:rsidRPr="001B4257">
              <w:rPr>
                <w:rFonts w:cs="Calibri"/>
                <w:color w:val="000000"/>
                <w:sz w:val="20"/>
                <w:szCs w:val="20"/>
                <w:lang w:eastAsia="en-GB"/>
              </w:rPr>
              <w:t>sufficient</w:t>
            </w:r>
            <w:proofErr w:type="gramEnd"/>
            <w:r w:rsidRPr="001B4257">
              <w:rPr>
                <w:rFonts w:cs="Calibri"/>
                <w:color w:val="000000"/>
                <w:sz w:val="20"/>
                <w:szCs w:val="20"/>
                <w:lang w:eastAsia="en-GB"/>
              </w:rPr>
              <w:t xml:space="preserve"> information.</w:t>
            </w:r>
            <w:r>
              <w:rPr>
                <w:rFonts w:cs="Calibri"/>
                <w:color w:val="000000"/>
                <w:sz w:val="20"/>
                <w:szCs w:val="20"/>
                <w:lang w:eastAsia="en-GB"/>
              </w:rPr>
              <w:t xml:space="preserve"> Individuals must “reasonably expect” disclosures of their confidential information.</w:t>
            </w:r>
          </w:p>
          <w:p w14:paraId="71527E57" w14:textId="77777777" w:rsidR="00B7034F" w:rsidRDefault="00B7034F" w:rsidP="00B67D98">
            <w:pPr>
              <w:spacing w:line="240" w:lineRule="auto"/>
              <w:rPr>
                <w:sz w:val="20"/>
                <w:szCs w:val="20"/>
              </w:rPr>
            </w:pPr>
          </w:p>
          <w:p w14:paraId="04C5B536" w14:textId="77777777" w:rsidR="00B7034F" w:rsidRPr="001B4257" w:rsidRDefault="00B7034F" w:rsidP="003B0710">
            <w:pPr>
              <w:spacing w:line="240" w:lineRule="auto"/>
              <w:jc w:val="center"/>
              <w:rPr>
                <w:b/>
                <w:sz w:val="10"/>
                <w:szCs w:val="10"/>
              </w:rPr>
            </w:pPr>
          </w:p>
        </w:tc>
      </w:tr>
      <w:tr w:rsidR="00B7034F" w:rsidRPr="009A6EAE" w14:paraId="74FC93DA"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A5CB237" w14:textId="77777777" w:rsidR="00B7034F" w:rsidRDefault="00B7034F" w:rsidP="003B0710">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12DCAA9"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34C497B4" w14:textId="77777777" w:rsidR="00B7034F" w:rsidRPr="001B4257" w:rsidRDefault="00B7034F" w:rsidP="003B0710">
            <w:pPr>
              <w:spacing w:line="240" w:lineRule="auto"/>
              <w:jc w:val="center"/>
              <w:rPr>
                <w:rFonts w:cs="Calibri"/>
                <w:color w:val="000000"/>
                <w:sz w:val="10"/>
                <w:szCs w:val="10"/>
                <w:lang w:eastAsia="en-GB"/>
              </w:rPr>
            </w:pPr>
          </w:p>
        </w:tc>
      </w:tr>
      <w:tr w:rsidR="00B7034F" w:rsidRPr="009A6EAE" w14:paraId="30802F22"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C10CA2" w14:textId="77777777" w:rsidR="00B7034F" w:rsidRDefault="00B7034F" w:rsidP="003B0710">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410E4ED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331E" w14:textId="77777777" w:rsidR="00B7034F" w:rsidRPr="001B4257" w:rsidRDefault="00B7034F" w:rsidP="003B0710">
            <w:pPr>
              <w:spacing w:line="240" w:lineRule="auto"/>
              <w:jc w:val="center"/>
              <w:rPr>
                <w:rFonts w:cs="Calibri"/>
                <w:color w:val="000000"/>
                <w:sz w:val="10"/>
                <w:szCs w:val="10"/>
                <w:lang w:eastAsia="en-GB"/>
              </w:rPr>
            </w:pPr>
          </w:p>
          <w:p w14:paraId="78FCFBC2" w14:textId="77777777" w:rsidR="00B7034F" w:rsidRDefault="00B7034F" w:rsidP="003B0710">
            <w:pPr>
              <w:spacing w:line="240" w:lineRule="auto"/>
              <w:jc w:val="center"/>
              <w:rPr>
                <w:rFonts w:cs="Calibri"/>
                <w:color w:val="000000"/>
                <w:sz w:val="20"/>
                <w:szCs w:val="20"/>
                <w:lang w:eastAsia="en-GB"/>
              </w:rPr>
            </w:pPr>
            <w:r>
              <w:rPr>
                <w:rFonts w:cs="Calibri"/>
                <w:color w:val="000000"/>
                <w:sz w:val="20"/>
                <w:szCs w:val="20"/>
                <w:lang w:eastAsia="en-GB"/>
              </w:rPr>
              <w:t>All signatories must;</w:t>
            </w:r>
          </w:p>
          <w:p w14:paraId="1C5336F7" w14:textId="3661FAF2" w:rsidR="00B7034F" w:rsidRDefault="00B7034F" w:rsidP="003B0710">
            <w:pPr>
              <w:spacing w:line="240" w:lineRule="auto"/>
              <w:jc w:val="both"/>
              <w:rPr>
                <w:rFonts w:cs="Calibri"/>
                <w:color w:val="000000"/>
                <w:sz w:val="20"/>
                <w:szCs w:val="20"/>
                <w:lang w:eastAsia="en-GB"/>
              </w:rPr>
            </w:pPr>
          </w:p>
          <w:p w14:paraId="67E4D800" w14:textId="5CA39F3D" w:rsidR="00A65E78" w:rsidRDefault="00A65E78" w:rsidP="003B0710">
            <w:pPr>
              <w:spacing w:line="240" w:lineRule="auto"/>
              <w:jc w:val="both"/>
              <w:rPr>
                <w:rFonts w:cs="Calibri"/>
                <w:color w:val="000000"/>
                <w:sz w:val="20"/>
                <w:szCs w:val="20"/>
                <w:lang w:eastAsia="en-GB"/>
              </w:rPr>
            </w:pPr>
            <w:r>
              <w:rPr>
                <w:rFonts w:cs="Calibri"/>
                <w:color w:val="000000"/>
                <w:sz w:val="20"/>
                <w:szCs w:val="20"/>
                <w:lang w:eastAsia="en-GB"/>
              </w:rPr>
              <w:t>All signat</w:t>
            </w:r>
            <w:r w:rsidR="00A41DCB">
              <w:rPr>
                <w:rFonts w:cs="Calibri"/>
                <w:color w:val="000000"/>
                <w:sz w:val="20"/>
                <w:szCs w:val="20"/>
                <w:lang w:eastAsia="en-GB"/>
              </w:rPr>
              <w:t>orie</w:t>
            </w:r>
            <w:r>
              <w:rPr>
                <w:rFonts w:cs="Calibri"/>
                <w:color w:val="000000"/>
                <w:sz w:val="20"/>
                <w:szCs w:val="20"/>
                <w:lang w:eastAsia="en-GB"/>
              </w:rPr>
              <w:t>s have</w:t>
            </w:r>
            <w:r w:rsidR="00FC7E2F">
              <w:rPr>
                <w:rFonts w:cs="Calibri"/>
                <w:color w:val="000000"/>
                <w:sz w:val="20"/>
                <w:szCs w:val="20"/>
                <w:lang w:eastAsia="en-GB"/>
              </w:rPr>
              <w:t xml:space="preserve"> </w:t>
            </w:r>
            <w:r>
              <w:rPr>
                <w:rFonts w:cs="Calibri"/>
                <w:color w:val="000000"/>
                <w:sz w:val="20"/>
                <w:szCs w:val="20"/>
                <w:lang w:eastAsia="en-GB"/>
              </w:rPr>
              <w:t>a Data Security Protection Toolkit</w:t>
            </w:r>
            <w:r w:rsidR="00FC7E2F">
              <w:rPr>
                <w:rFonts w:cs="Calibri"/>
                <w:color w:val="000000"/>
                <w:sz w:val="20"/>
                <w:szCs w:val="20"/>
                <w:lang w:eastAsia="en-GB"/>
              </w:rPr>
              <w:t xml:space="preserve"> </w:t>
            </w:r>
            <w:r>
              <w:rPr>
                <w:rFonts w:cs="Calibri"/>
                <w:color w:val="000000"/>
                <w:sz w:val="20"/>
                <w:szCs w:val="20"/>
                <w:lang w:eastAsia="en-GB"/>
              </w:rPr>
              <w:t>and have:</w:t>
            </w:r>
          </w:p>
          <w:p w14:paraId="6C0A8057" w14:textId="77777777" w:rsidR="00A65E78" w:rsidRPr="0013069A" w:rsidRDefault="00A65E78" w:rsidP="003B0710">
            <w:pPr>
              <w:spacing w:line="240" w:lineRule="auto"/>
              <w:jc w:val="both"/>
              <w:rPr>
                <w:rFonts w:cs="Calibri"/>
                <w:color w:val="000000"/>
                <w:sz w:val="20"/>
                <w:szCs w:val="20"/>
                <w:lang w:eastAsia="en-GB"/>
              </w:rPr>
            </w:pPr>
          </w:p>
          <w:p w14:paraId="3F707460" w14:textId="77777777" w:rsidR="00B7034F" w:rsidRPr="0013069A" w:rsidRDefault="00B7034F" w:rsidP="003B0710">
            <w:pPr>
              <w:spacing w:after="160" w:line="259" w:lineRule="auto"/>
              <w:jc w:val="both"/>
              <w:rPr>
                <w:rFonts w:eastAsia="Calibri" w:cs="Arial"/>
                <w:sz w:val="20"/>
                <w:szCs w:val="20"/>
              </w:rPr>
            </w:pPr>
            <w:r w:rsidRPr="0013069A">
              <w:rPr>
                <w:rFonts w:eastAsia="Calibri" w:cs="Arial"/>
                <w:sz w:val="20"/>
                <w:szCs w:val="20"/>
              </w:rPr>
              <w:t xml:space="preserve">Implement appropriate technical and organisational measures to protect the Shared Personal Data in their possession against unauthorised or unlawful processing and against accidental loss, destruction, damage, alteration or disclosure, including but not limited to: </w:t>
            </w:r>
          </w:p>
          <w:p w14:paraId="582D6E20" w14:textId="54A6B78A" w:rsidR="00B7034F"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Ensuring IT equipment, including portable equipment, is kept in lockable areas when unattended</w:t>
            </w:r>
            <w:r w:rsidR="00BB3B9A">
              <w:rPr>
                <w:rFonts w:eastAsia="Calibri" w:cs="Arial"/>
                <w:sz w:val="20"/>
                <w:szCs w:val="20"/>
              </w:rPr>
              <w:t xml:space="preserve"> and is encrypted</w:t>
            </w:r>
            <w:r w:rsidR="00BB3B9A" w:rsidRPr="0013069A">
              <w:rPr>
                <w:rFonts w:eastAsia="Calibri" w:cs="Arial"/>
                <w:sz w:val="20"/>
                <w:szCs w:val="20"/>
              </w:rPr>
              <w:t>.</w:t>
            </w:r>
          </w:p>
          <w:p w14:paraId="61E6A700" w14:textId="7AE33641" w:rsidR="00B7034F" w:rsidRPr="0013069A" w:rsidRDefault="00B7034F" w:rsidP="00B7034F">
            <w:pPr>
              <w:numPr>
                <w:ilvl w:val="0"/>
                <w:numId w:val="2"/>
              </w:numPr>
              <w:spacing w:after="160" w:line="259" w:lineRule="auto"/>
              <w:contextualSpacing/>
              <w:jc w:val="both"/>
              <w:rPr>
                <w:rFonts w:eastAsia="Calibri" w:cs="Arial"/>
                <w:sz w:val="20"/>
                <w:szCs w:val="20"/>
              </w:rPr>
            </w:pPr>
            <w:r w:rsidRPr="0013069A">
              <w:rPr>
                <w:rFonts w:eastAsia="Calibri" w:cs="Arial"/>
                <w:sz w:val="20"/>
                <w:szCs w:val="20"/>
              </w:rPr>
              <w:t xml:space="preserve">ensuring that staff use appropriate secure </w:t>
            </w:r>
            <w:r w:rsidR="00363F62">
              <w:rPr>
                <w:rFonts w:eastAsia="Calibri" w:cs="Arial"/>
                <w:sz w:val="20"/>
                <w:szCs w:val="20"/>
              </w:rPr>
              <w:t>methods</w:t>
            </w:r>
            <w:r w:rsidRPr="0013069A">
              <w:rPr>
                <w:rFonts w:eastAsia="Calibri" w:cs="Arial"/>
                <w:sz w:val="20"/>
                <w:szCs w:val="20"/>
              </w:rPr>
              <w:t xml:space="preserve"> for logging into systems or databases containing the Personal Data;</w:t>
            </w:r>
          </w:p>
          <w:p w14:paraId="68A1A1FC" w14:textId="2CD32F90" w:rsidR="00B7034F" w:rsidRPr="0013069A" w:rsidRDefault="00363F62" w:rsidP="00B7034F">
            <w:pPr>
              <w:numPr>
                <w:ilvl w:val="0"/>
                <w:numId w:val="2"/>
              </w:numPr>
              <w:spacing w:after="160" w:line="259" w:lineRule="auto"/>
              <w:contextualSpacing/>
              <w:jc w:val="both"/>
              <w:rPr>
                <w:rFonts w:eastAsia="Calibri" w:cs="Arial"/>
                <w:sz w:val="20"/>
                <w:szCs w:val="20"/>
              </w:rPr>
            </w:pPr>
            <w:r>
              <w:rPr>
                <w:rFonts w:eastAsia="Calibri" w:cs="Arial"/>
                <w:sz w:val="20"/>
                <w:szCs w:val="20"/>
              </w:rPr>
              <w:t>Ensuring that access to systems is appropriately audited</w:t>
            </w:r>
          </w:p>
          <w:p w14:paraId="3CF77EA7" w14:textId="188BCB01" w:rsidR="00B7034F" w:rsidRPr="00BB3B9A" w:rsidRDefault="00B7034F" w:rsidP="003B0710">
            <w:pPr>
              <w:numPr>
                <w:ilvl w:val="0"/>
                <w:numId w:val="2"/>
              </w:numPr>
              <w:spacing w:after="160" w:line="240" w:lineRule="auto"/>
              <w:contextualSpacing/>
              <w:jc w:val="both"/>
              <w:rPr>
                <w:rFonts w:cs="Calibri"/>
                <w:color w:val="000000"/>
                <w:sz w:val="20"/>
                <w:szCs w:val="20"/>
                <w:lang w:eastAsia="en-GB"/>
              </w:rPr>
            </w:pPr>
            <w:r w:rsidRPr="00BB3B9A">
              <w:rPr>
                <w:rFonts w:eastAsia="Calibri" w:cs="Arial"/>
                <w:sz w:val="20"/>
                <w:szCs w:val="20"/>
              </w:rPr>
              <w:t>Ensuring all staff handling Personal Data have been made aware of their responsibilities with regards to handling of the data</w:t>
            </w:r>
            <w:r w:rsidR="00BB3B9A" w:rsidRPr="00BB3B9A">
              <w:rPr>
                <w:rFonts w:eastAsia="Calibri" w:cs="Arial"/>
                <w:sz w:val="20"/>
                <w:szCs w:val="20"/>
              </w:rPr>
              <w:t>, have a copy of this protocol and have undergone Data Protection and Security Training in the last 12 months</w:t>
            </w:r>
          </w:p>
          <w:p w14:paraId="7DC2AD52" w14:textId="77777777" w:rsidR="00B7034F" w:rsidRPr="003761D3" w:rsidRDefault="00B7034F" w:rsidP="003B0710">
            <w:pPr>
              <w:pStyle w:val="ListParagraph"/>
              <w:spacing w:line="240" w:lineRule="auto"/>
              <w:ind w:left="1080"/>
              <w:jc w:val="both"/>
              <w:rPr>
                <w:b/>
                <w:sz w:val="20"/>
                <w:szCs w:val="20"/>
              </w:rPr>
            </w:pPr>
          </w:p>
        </w:tc>
      </w:tr>
      <w:tr w:rsidR="00B7034F" w:rsidRPr="009A6EAE" w14:paraId="2AD9AC0C" w14:textId="77777777" w:rsidTr="003B0710">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409CE712" w14:textId="77777777" w:rsidR="00B7034F" w:rsidRDefault="00B7034F" w:rsidP="003B0710">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5E596E76" w14:textId="77777777" w:rsidR="00B7034F" w:rsidRPr="0049256C" w:rsidRDefault="00B7034F" w:rsidP="003B0710">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27EF854D" w14:textId="77777777" w:rsidR="00B7034F" w:rsidRPr="006B2A35" w:rsidRDefault="00B7034F" w:rsidP="003B0710">
            <w:pPr>
              <w:spacing w:line="240" w:lineRule="auto"/>
              <w:jc w:val="center"/>
              <w:rPr>
                <w:b/>
                <w:sz w:val="20"/>
                <w:szCs w:val="20"/>
              </w:rPr>
            </w:pPr>
          </w:p>
        </w:tc>
      </w:tr>
      <w:tr w:rsidR="00B7034F" w:rsidRPr="009A6EAE" w14:paraId="53332E7D" w14:textId="77777777" w:rsidTr="003B0710">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A105D" w14:textId="77777777" w:rsidR="00B7034F" w:rsidRPr="00C94B7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4642AEFB" w14:textId="77777777" w:rsidR="00B7034F" w:rsidRPr="009A6EAE" w:rsidRDefault="00B7034F" w:rsidP="003B0710">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B7034F" w:rsidRPr="006B2A35" w14:paraId="379DF63F" w14:textId="77777777" w:rsidTr="003B0710">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F9BF1" w14:textId="77777777" w:rsidR="00B7034F" w:rsidRPr="006B2A35" w:rsidRDefault="00B7034F" w:rsidP="003B0710">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4E2E57" w14:textId="77777777" w:rsidR="00B7034F" w:rsidRPr="006B2A35" w:rsidRDefault="00B7034F" w:rsidP="003B0710">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48584" w14:textId="77777777" w:rsidR="00B7034F" w:rsidRPr="006B2A35" w:rsidRDefault="00B7034F" w:rsidP="003B0710">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2DE7D" w14:textId="77777777" w:rsidR="00B7034F" w:rsidRPr="006B2A35" w:rsidRDefault="00B7034F" w:rsidP="003B0710">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6E2A76" w14:textId="77777777" w:rsidR="00B7034F" w:rsidRPr="006B2A35" w:rsidRDefault="00B7034F" w:rsidP="003B0710">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FF4E3" w14:textId="77777777" w:rsidR="00B7034F" w:rsidRPr="006B2A35" w:rsidRDefault="00B7034F" w:rsidP="003B0710">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42AAC4" w14:textId="77777777" w:rsidR="00B7034F" w:rsidRPr="006B2A35" w:rsidRDefault="00B7034F" w:rsidP="003B0710">
                  <w:pPr>
                    <w:spacing w:line="240" w:lineRule="auto"/>
                    <w:jc w:val="center"/>
                    <w:rPr>
                      <w:b/>
                      <w:sz w:val="20"/>
                      <w:szCs w:val="20"/>
                    </w:rPr>
                  </w:pPr>
                  <w:r w:rsidRPr="006B2A35">
                    <w:rPr>
                      <w:b/>
                      <w:sz w:val="20"/>
                      <w:szCs w:val="20"/>
                    </w:rPr>
                    <w:t>Common Law Duty of Confidentiality</w:t>
                  </w:r>
                </w:p>
              </w:tc>
            </w:tr>
            <w:tr w:rsidR="00B7034F" w:rsidRPr="006B2A35" w14:paraId="08D2B5DE" w14:textId="77777777" w:rsidTr="003B0710">
              <w:tc>
                <w:tcPr>
                  <w:tcW w:w="1465" w:type="dxa"/>
                  <w:tcBorders>
                    <w:top w:val="single" w:sz="4" w:space="0" w:color="auto"/>
                    <w:left w:val="single" w:sz="4" w:space="0" w:color="auto"/>
                    <w:bottom w:val="single" w:sz="4" w:space="0" w:color="auto"/>
                    <w:right w:val="single" w:sz="4" w:space="0" w:color="auto"/>
                  </w:tcBorders>
                  <w:vAlign w:val="center"/>
                  <w:hideMark/>
                </w:tcPr>
                <w:p w14:paraId="41FCAEF2" w14:textId="77777777" w:rsidR="00B7034F" w:rsidRPr="006B2A35" w:rsidRDefault="00B7034F" w:rsidP="003B0710">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5D04E83"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7360ADD6" w14:textId="77777777" w:rsidR="00B7034F" w:rsidRPr="006B2A35" w:rsidRDefault="00B7034F" w:rsidP="003B0710">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EF9D810" w14:textId="77777777" w:rsidR="00B7034F" w:rsidRPr="006B2A35" w:rsidRDefault="00B7034F" w:rsidP="003B0710">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1E2B841" w14:textId="30C2276A" w:rsidR="00B7034F" w:rsidRPr="006B2A35" w:rsidRDefault="00B7034F" w:rsidP="003B0710">
                  <w:pPr>
                    <w:spacing w:line="240" w:lineRule="auto"/>
                    <w:jc w:val="center"/>
                    <w:rPr>
                      <w:sz w:val="20"/>
                      <w:szCs w:val="20"/>
                    </w:rPr>
                  </w:pPr>
                  <w:r>
                    <w:rPr>
                      <w:sz w:val="20"/>
                      <w:szCs w:val="20"/>
                    </w:rPr>
                    <w:t>Art 9 (2) (h</w:t>
                  </w:r>
                  <w:r w:rsidRPr="006B2A35">
                    <w:rPr>
                      <w:sz w:val="20"/>
                      <w:szCs w:val="20"/>
                    </w:rPr>
                    <w:t>)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1C3524E" w14:textId="77777777" w:rsidR="00B7034F" w:rsidRPr="006B2A35" w:rsidRDefault="00B7034F" w:rsidP="003B0710">
                  <w:pPr>
                    <w:spacing w:line="240" w:lineRule="auto"/>
                    <w:jc w:val="center"/>
                    <w:rPr>
                      <w:sz w:val="20"/>
                      <w:szCs w:val="20"/>
                    </w:rPr>
                  </w:pPr>
                  <w:r w:rsidRPr="006B2A35">
                    <w:rPr>
                      <w:sz w:val="20"/>
                      <w:szCs w:val="20"/>
                    </w:rPr>
                    <w:t>In accordance with the law</w:t>
                  </w:r>
                </w:p>
                <w:p w14:paraId="1D39591F" w14:textId="77777777" w:rsidR="00B7034F" w:rsidRPr="006B2A35" w:rsidRDefault="00B7034F" w:rsidP="003B0710">
                  <w:pPr>
                    <w:spacing w:line="240" w:lineRule="auto"/>
                    <w:jc w:val="center"/>
                    <w:rPr>
                      <w:sz w:val="20"/>
                      <w:szCs w:val="20"/>
                    </w:rPr>
                  </w:pPr>
                </w:p>
                <w:p w14:paraId="3C1CCB7C" w14:textId="77777777" w:rsidR="00B7034F" w:rsidRPr="006B2A35" w:rsidRDefault="00B7034F" w:rsidP="003B0710">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7B729FE" w14:textId="70CF97D0" w:rsidR="00B7034F" w:rsidRPr="006B2A35" w:rsidRDefault="00B7034F" w:rsidP="003B0710">
                  <w:pPr>
                    <w:spacing w:line="240" w:lineRule="auto"/>
                    <w:jc w:val="center"/>
                    <w:rPr>
                      <w:sz w:val="20"/>
                      <w:szCs w:val="20"/>
                    </w:rPr>
                  </w:pPr>
                  <w:r>
                    <w:rPr>
                      <w:sz w:val="20"/>
                      <w:szCs w:val="20"/>
                    </w:rPr>
                    <w:t xml:space="preserve">Established through raising patient expectations through privacy </w:t>
                  </w:r>
                  <w:r w:rsidR="001D5818">
                    <w:rPr>
                      <w:sz w:val="20"/>
                      <w:szCs w:val="20"/>
                    </w:rPr>
                    <w:t>discussions</w:t>
                  </w:r>
                  <w:r w:rsidRPr="006B2A35">
                    <w:rPr>
                      <w:sz w:val="20"/>
                      <w:szCs w:val="20"/>
                    </w:rPr>
                    <w:t xml:space="preserve"> </w:t>
                  </w:r>
                </w:p>
              </w:tc>
            </w:tr>
          </w:tbl>
          <w:p w14:paraId="1697A8CB" w14:textId="77777777" w:rsidR="00B7034F" w:rsidRPr="009A6EAE" w:rsidRDefault="00B7034F" w:rsidP="003B0710">
            <w:pPr>
              <w:spacing w:line="240" w:lineRule="auto"/>
              <w:jc w:val="center"/>
              <w:rPr>
                <w:rFonts w:cs="Calibri"/>
                <w:color w:val="000000"/>
                <w:sz w:val="20"/>
                <w:szCs w:val="20"/>
                <w:lang w:eastAsia="en-GB"/>
              </w:rPr>
            </w:pPr>
          </w:p>
        </w:tc>
      </w:tr>
    </w:tbl>
    <w:p w14:paraId="6D8B5AD5"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14:paraId="618F4E7B" w14:textId="77777777" w:rsidTr="003B0710">
        <w:trPr>
          <w:trHeight w:val="478"/>
        </w:trPr>
        <w:tc>
          <w:tcPr>
            <w:tcW w:w="980" w:type="pct"/>
            <w:shd w:val="clear" w:color="auto" w:fill="F2F2F2" w:themeFill="background1" w:themeFillShade="F2"/>
            <w:vAlign w:val="center"/>
          </w:tcPr>
          <w:p w14:paraId="16288D06"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2CB6EB88" w14:textId="77777777" w:rsidR="00B7034F" w:rsidRPr="00BF6D8A" w:rsidRDefault="00B7034F" w:rsidP="003B0710">
            <w:pPr>
              <w:rPr>
                <w:rFonts w:cs="Arial"/>
                <w:bCs/>
                <w:sz w:val="20"/>
                <w:szCs w:val="20"/>
              </w:rPr>
            </w:pPr>
          </w:p>
        </w:tc>
        <w:tc>
          <w:tcPr>
            <w:tcW w:w="3880" w:type="pct"/>
          </w:tcPr>
          <w:p w14:paraId="0D72C266" w14:textId="77777777" w:rsidR="006F57AD" w:rsidRDefault="006F57AD" w:rsidP="003B0710">
            <w:pPr>
              <w:rPr>
                <w:rFonts w:cs="Arial"/>
                <w:bCs/>
                <w:sz w:val="20"/>
                <w:szCs w:val="20"/>
              </w:rPr>
            </w:pPr>
          </w:p>
          <w:p w14:paraId="00769DC5" w14:textId="7A6C2A40" w:rsidR="00B7034F" w:rsidRPr="00BF6D8A" w:rsidRDefault="00A65E78" w:rsidP="003B0710">
            <w:pPr>
              <w:rPr>
                <w:rFonts w:cs="Arial"/>
                <w:bCs/>
                <w:sz w:val="20"/>
                <w:szCs w:val="20"/>
              </w:rPr>
            </w:pPr>
            <w:r>
              <w:rPr>
                <w:rFonts w:cs="Arial"/>
                <w:bCs/>
                <w:sz w:val="20"/>
                <w:szCs w:val="20"/>
              </w:rPr>
              <w:t xml:space="preserve">N/A </w:t>
            </w:r>
            <w:r w:rsidR="006F57AD">
              <w:rPr>
                <w:rFonts w:cs="Arial"/>
                <w:bCs/>
                <w:sz w:val="20"/>
                <w:szCs w:val="20"/>
              </w:rPr>
              <w:t xml:space="preserve">– provided in </w:t>
            </w:r>
            <w:r w:rsidR="001D5818">
              <w:rPr>
                <w:rFonts w:cs="Arial"/>
                <w:bCs/>
                <w:sz w:val="20"/>
                <w:szCs w:val="20"/>
              </w:rPr>
              <w:t>an additional question within COVID Triage questionnaire</w:t>
            </w:r>
          </w:p>
        </w:tc>
      </w:tr>
    </w:tbl>
    <w:p w14:paraId="51C29C33" w14:textId="77777777" w:rsidR="00B7034F" w:rsidRDefault="00B7034F" w:rsidP="00B7034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B7034F" w:rsidRPr="00743A58" w14:paraId="7CE17EAD" w14:textId="77777777" w:rsidTr="003B0710">
        <w:trPr>
          <w:trHeight w:val="478"/>
        </w:trPr>
        <w:tc>
          <w:tcPr>
            <w:tcW w:w="980" w:type="pct"/>
            <w:shd w:val="clear" w:color="auto" w:fill="F2F2F2" w:themeFill="background1" w:themeFillShade="F2"/>
            <w:vAlign w:val="center"/>
          </w:tcPr>
          <w:p w14:paraId="31EF3BD3" w14:textId="77777777" w:rsidR="00B7034F" w:rsidRPr="00A318B7"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41D6EBB0" w14:textId="77777777" w:rsidR="00B7034F" w:rsidRPr="00A12D16" w:rsidRDefault="00B7034F" w:rsidP="003B0710">
            <w:pPr>
              <w:rPr>
                <w:rFonts w:cs="Arial"/>
                <w:sz w:val="20"/>
                <w:szCs w:val="20"/>
              </w:rPr>
            </w:pPr>
          </w:p>
        </w:tc>
        <w:tc>
          <w:tcPr>
            <w:tcW w:w="3880" w:type="pct"/>
          </w:tcPr>
          <w:p w14:paraId="6D1C9733" w14:textId="2C65AF2D" w:rsidR="00B7034F" w:rsidRDefault="00397320" w:rsidP="003B0710">
            <w:pPr>
              <w:spacing w:line="276" w:lineRule="auto"/>
              <w:rPr>
                <w:rFonts w:cs="Arial"/>
                <w:sz w:val="20"/>
                <w:szCs w:val="20"/>
              </w:rPr>
            </w:pPr>
            <w:r>
              <w:rPr>
                <w:rFonts w:cs="Arial"/>
                <w:sz w:val="20"/>
                <w:szCs w:val="20"/>
              </w:rPr>
              <w:t xml:space="preserve">Kafico Ltd (DPO) </w:t>
            </w:r>
            <w:r w:rsidR="00387B49">
              <w:rPr>
                <w:rFonts w:cs="Arial"/>
                <w:sz w:val="20"/>
                <w:szCs w:val="20"/>
              </w:rPr>
              <w:t xml:space="preserve"> </w:t>
            </w:r>
          </w:p>
        </w:tc>
      </w:tr>
      <w:tr w:rsidR="00B7034F" w:rsidRPr="00743A58" w14:paraId="62A271E5" w14:textId="77777777" w:rsidTr="003B0710">
        <w:trPr>
          <w:trHeight w:val="478"/>
        </w:trPr>
        <w:tc>
          <w:tcPr>
            <w:tcW w:w="980" w:type="pct"/>
            <w:shd w:val="clear" w:color="auto" w:fill="F2F2F2" w:themeFill="background1" w:themeFillShade="F2"/>
            <w:vAlign w:val="center"/>
          </w:tcPr>
          <w:p w14:paraId="71C5BC7D" w14:textId="77777777" w:rsidR="00B7034F" w:rsidRDefault="00B7034F" w:rsidP="003B0710">
            <w:pPr>
              <w:spacing w:line="240" w:lineRule="auto"/>
              <w:jc w:val="right"/>
              <w:rPr>
                <w:rFonts w:cs="Calibri"/>
                <w:color w:val="305496"/>
                <w:sz w:val="30"/>
                <w:szCs w:val="30"/>
                <w:lang w:eastAsia="en-GB"/>
              </w:rPr>
            </w:pPr>
            <w:r>
              <w:rPr>
                <w:rFonts w:cs="Calibri"/>
                <w:color w:val="305496"/>
                <w:sz w:val="30"/>
                <w:szCs w:val="30"/>
                <w:lang w:eastAsia="en-GB"/>
              </w:rPr>
              <w:lastRenderedPageBreak/>
              <w:t>Access Rights Requests reported to:</w:t>
            </w:r>
          </w:p>
        </w:tc>
        <w:tc>
          <w:tcPr>
            <w:tcW w:w="140" w:type="pct"/>
            <w:tcBorders>
              <w:top w:val="nil"/>
              <w:bottom w:val="nil"/>
            </w:tcBorders>
            <w:vAlign w:val="center"/>
          </w:tcPr>
          <w:p w14:paraId="49DCFB2D" w14:textId="77777777" w:rsidR="00B7034F" w:rsidRPr="00A12D16" w:rsidRDefault="00B7034F" w:rsidP="003B0710">
            <w:pPr>
              <w:rPr>
                <w:rFonts w:cs="Arial"/>
                <w:sz w:val="20"/>
                <w:szCs w:val="20"/>
              </w:rPr>
            </w:pPr>
          </w:p>
        </w:tc>
        <w:tc>
          <w:tcPr>
            <w:tcW w:w="3880" w:type="pct"/>
          </w:tcPr>
          <w:p w14:paraId="3D9CB940" w14:textId="5BD95834" w:rsidR="00B7034F" w:rsidRDefault="00B7034F" w:rsidP="003B0710">
            <w:pPr>
              <w:spacing w:after="160" w:line="259" w:lineRule="auto"/>
              <w:jc w:val="both"/>
              <w:rPr>
                <w:rFonts w:eastAsia="Calibri" w:cs="Arial"/>
                <w:sz w:val="20"/>
                <w:szCs w:val="20"/>
              </w:rPr>
            </w:pPr>
            <w:r w:rsidRPr="0013069A">
              <w:rPr>
                <w:rFonts w:eastAsia="Calibri" w:cs="Arial"/>
                <w:sz w:val="20"/>
                <w:szCs w:val="20"/>
              </w:rPr>
              <w:t xml:space="preserve">The Parties agree that the responsibility for complying with a request from a data subject falls </w:t>
            </w:r>
            <w:r w:rsidR="000B1428">
              <w:rPr>
                <w:rFonts w:eastAsia="Calibri" w:cs="Arial"/>
                <w:sz w:val="20"/>
                <w:szCs w:val="20"/>
              </w:rPr>
              <w:t>each individual controller</w:t>
            </w:r>
          </w:p>
          <w:p w14:paraId="407BA62A" w14:textId="2F5C8C95" w:rsidR="00B7034F" w:rsidRPr="004B2D08" w:rsidRDefault="00B7034F" w:rsidP="003B0710">
            <w:pPr>
              <w:spacing w:after="160" w:line="259" w:lineRule="auto"/>
              <w:jc w:val="both"/>
              <w:rPr>
                <w:rFonts w:eastAsia="Calibri" w:cs="Arial"/>
                <w:sz w:val="20"/>
                <w:szCs w:val="20"/>
              </w:rPr>
            </w:pPr>
            <w:r w:rsidRPr="0013069A">
              <w:rPr>
                <w:rFonts w:eastAsia="Calibri" w:cs="Arial"/>
                <w:sz w:val="20"/>
                <w:szCs w:val="20"/>
              </w:rPr>
              <w:t>The Parties agree to provide reasonable and prompt assistance (within 5 working days of such a request for assistance) as is necessary to each other to enable them to comply with a Data Subject Request and to respond to any other queries or complaints from Data Subjects.</w:t>
            </w:r>
          </w:p>
        </w:tc>
      </w:tr>
      <w:tr w:rsidR="00B7034F" w:rsidRPr="00743A58" w14:paraId="07E0B0A7" w14:textId="77777777" w:rsidTr="003B0710">
        <w:trPr>
          <w:trHeight w:val="478"/>
        </w:trPr>
        <w:tc>
          <w:tcPr>
            <w:tcW w:w="980" w:type="pct"/>
            <w:shd w:val="clear" w:color="auto" w:fill="F2F2F2" w:themeFill="background1" w:themeFillShade="F2"/>
            <w:vAlign w:val="center"/>
          </w:tcPr>
          <w:p w14:paraId="0CF859D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E9AC241" w14:textId="77777777" w:rsidR="00B7034F" w:rsidRPr="00A12D16" w:rsidRDefault="00B7034F" w:rsidP="003B0710">
            <w:pPr>
              <w:rPr>
                <w:rFonts w:cs="Arial"/>
                <w:sz w:val="20"/>
                <w:szCs w:val="20"/>
              </w:rPr>
            </w:pPr>
          </w:p>
        </w:tc>
        <w:tc>
          <w:tcPr>
            <w:tcW w:w="3880" w:type="pct"/>
          </w:tcPr>
          <w:p w14:paraId="021AFFD9" w14:textId="77777777" w:rsidR="00B7034F" w:rsidRDefault="00B7034F" w:rsidP="003B0710">
            <w:pPr>
              <w:spacing w:line="276" w:lineRule="auto"/>
              <w:rPr>
                <w:rFonts w:cs="Arial"/>
                <w:sz w:val="20"/>
                <w:szCs w:val="20"/>
              </w:rPr>
            </w:pPr>
          </w:p>
          <w:p w14:paraId="60D5DF34" w14:textId="03198A70" w:rsidR="00B7034F" w:rsidRPr="003761D3" w:rsidRDefault="00B7034F" w:rsidP="003B0710">
            <w:pPr>
              <w:spacing w:line="276" w:lineRule="auto"/>
              <w:rPr>
                <w:rFonts w:cs="Arial"/>
                <w:sz w:val="20"/>
                <w:szCs w:val="20"/>
              </w:rPr>
            </w:pPr>
            <w:r w:rsidRPr="003761D3">
              <w:rPr>
                <w:rFonts w:cs="Arial"/>
                <w:sz w:val="20"/>
                <w:szCs w:val="20"/>
              </w:rPr>
              <w:t xml:space="preserve">A copy of this document should be </w:t>
            </w:r>
            <w:r>
              <w:rPr>
                <w:rFonts w:cs="Arial"/>
                <w:sz w:val="20"/>
                <w:szCs w:val="20"/>
              </w:rPr>
              <w:t xml:space="preserve">provided to all staff </w:t>
            </w:r>
            <w:r w:rsidR="00252F5D">
              <w:rPr>
                <w:rFonts w:cs="Arial"/>
                <w:sz w:val="20"/>
                <w:szCs w:val="20"/>
              </w:rPr>
              <w:t xml:space="preserve">involved in the project at </w:t>
            </w:r>
            <w:r w:rsidR="00FC7E2F">
              <w:rPr>
                <w:rFonts w:cs="Arial"/>
                <w:sz w:val="20"/>
                <w:szCs w:val="20"/>
              </w:rPr>
              <w:t xml:space="preserve">NNPC and </w:t>
            </w:r>
            <w:proofErr w:type="spellStart"/>
            <w:r w:rsidR="00A41DCB">
              <w:rPr>
                <w:rFonts w:cs="Arial"/>
                <w:sz w:val="20"/>
                <w:szCs w:val="20"/>
              </w:rPr>
              <w:t>Acle</w:t>
            </w:r>
            <w:proofErr w:type="spellEnd"/>
            <w:r w:rsidR="00A41DCB">
              <w:rPr>
                <w:rFonts w:cs="Arial"/>
                <w:sz w:val="20"/>
                <w:szCs w:val="20"/>
              </w:rPr>
              <w:t xml:space="preserve"> MC</w:t>
            </w:r>
            <w:r w:rsidR="00FC7E2F">
              <w:rPr>
                <w:rFonts w:cs="Arial"/>
                <w:sz w:val="20"/>
                <w:szCs w:val="20"/>
              </w:rPr>
              <w:t xml:space="preserve"> </w:t>
            </w:r>
            <w:r w:rsidR="009726B9">
              <w:rPr>
                <w:rFonts w:cs="Arial"/>
                <w:sz w:val="20"/>
                <w:szCs w:val="20"/>
              </w:rPr>
              <w:t>a</w:t>
            </w:r>
            <w:r>
              <w:rPr>
                <w:rFonts w:cs="Arial"/>
                <w:sz w:val="20"/>
                <w:szCs w:val="20"/>
              </w:rPr>
              <w:t xml:space="preserve">nd should be </w:t>
            </w:r>
            <w:r w:rsidRPr="003761D3">
              <w:rPr>
                <w:rFonts w:cs="Arial"/>
                <w:sz w:val="20"/>
                <w:szCs w:val="20"/>
              </w:rPr>
              <w:t>logged with the Information Governance Lead</w:t>
            </w:r>
            <w:r>
              <w:rPr>
                <w:rFonts w:cs="Arial"/>
                <w:sz w:val="20"/>
                <w:szCs w:val="20"/>
              </w:rPr>
              <w:t xml:space="preserve"> / DPO</w:t>
            </w:r>
            <w:r w:rsidRPr="003761D3">
              <w:rPr>
                <w:rFonts w:cs="Arial"/>
                <w:sz w:val="20"/>
                <w:szCs w:val="20"/>
              </w:rPr>
              <w:t xml:space="preserve"> for each participating partner organisation.</w:t>
            </w:r>
          </w:p>
        </w:tc>
      </w:tr>
      <w:tr w:rsidR="00B7034F" w:rsidRPr="00743A58" w14:paraId="5861C6AD" w14:textId="77777777" w:rsidTr="003B0710">
        <w:trPr>
          <w:trHeight w:val="339"/>
        </w:trPr>
        <w:tc>
          <w:tcPr>
            <w:tcW w:w="980" w:type="pct"/>
            <w:shd w:val="clear" w:color="auto" w:fill="F2F2F2" w:themeFill="background1" w:themeFillShade="F2"/>
            <w:vAlign w:val="center"/>
          </w:tcPr>
          <w:p w14:paraId="51E5AA38" w14:textId="77777777" w:rsidR="00B7034F" w:rsidRPr="00A318B7" w:rsidRDefault="00B7034F" w:rsidP="003B0710">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72BFFEFB" w14:textId="77777777" w:rsidR="00B7034F" w:rsidRPr="00A12D16" w:rsidRDefault="00B7034F" w:rsidP="003B0710">
            <w:pPr>
              <w:pStyle w:val="Default"/>
              <w:spacing w:before="100" w:after="100"/>
              <w:rPr>
                <w:rFonts w:ascii="Arial Nova Light" w:hAnsi="Arial Nova Light"/>
                <w:color w:val="FF0000"/>
                <w:sz w:val="20"/>
                <w:szCs w:val="20"/>
              </w:rPr>
            </w:pPr>
          </w:p>
        </w:tc>
        <w:tc>
          <w:tcPr>
            <w:tcW w:w="3880" w:type="pct"/>
          </w:tcPr>
          <w:p w14:paraId="4AA5DED1" w14:textId="1235998B" w:rsidR="00B7034F" w:rsidRPr="00A12D16" w:rsidRDefault="00FC7E2F" w:rsidP="003B0710">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lang w:eastAsia="en-US"/>
              </w:rPr>
              <w:t>June</w:t>
            </w:r>
            <w:r w:rsidR="00BB3B9A" w:rsidRPr="00BB3B9A">
              <w:rPr>
                <w:rFonts w:ascii="Arial Nova Light" w:hAnsi="Arial Nova Light"/>
                <w:color w:val="auto"/>
                <w:sz w:val="20"/>
                <w:szCs w:val="20"/>
                <w:lang w:eastAsia="en-US"/>
              </w:rPr>
              <w:t xml:space="preserve"> 2020</w:t>
            </w:r>
          </w:p>
        </w:tc>
      </w:tr>
      <w:tr w:rsidR="00B7034F" w:rsidRPr="008455BE" w14:paraId="4919E91A" w14:textId="77777777" w:rsidTr="003B0710">
        <w:trPr>
          <w:trHeight w:val="497"/>
        </w:trPr>
        <w:tc>
          <w:tcPr>
            <w:tcW w:w="980" w:type="pct"/>
            <w:shd w:val="clear" w:color="auto" w:fill="F2F2F2" w:themeFill="background1" w:themeFillShade="F2"/>
            <w:vAlign w:val="center"/>
          </w:tcPr>
          <w:p w14:paraId="3A0FB104" w14:textId="77777777" w:rsidR="00B7034F" w:rsidRPr="00A12D16" w:rsidRDefault="00B7034F" w:rsidP="003B0710">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0706BBF3" w14:textId="77777777" w:rsidR="00B7034F" w:rsidRPr="00A12D16" w:rsidRDefault="00B7034F" w:rsidP="003B0710">
            <w:pPr>
              <w:pStyle w:val="Default"/>
              <w:spacing w:before="100" w:after="100"/>
              <w:rPr>
                <w:rFonts w:ascii="Arial Nova Light" w:hAnsi="Arial Nova Light"/>
                <w:color w:val="auto"/>
                <w:sz w:val="20"/>
                <w:szCs w:val="20"/>
              </w:rPr>
            </w:pPr>
          </w:p>
        </w:tc>
        <w:tc>
          <w:tcPr>
            <w:tcW w:w="3880" w:type="pct"/>
          </w:tcPr>
          <w:p w14:paraId="2865166C" w14:textId="68C6889B" w:rsidR="00B7034F" w:rsidRPr="00A12D16" w:rsidRDefault="000B1428" w:rsidP="003B0710">
            <w:pPr>
              <w:pStyle w:val="Default"/>
              <w:spacing w:before="100" w:after="100"/>
              <w:rPr>
                <w:rFonts w:ascii="Arial Nova Light" w:hAnsi="Arial Nova Light"/>
                <w:color w:val="auto"/>
                <w:sz w:val="20"/>
                <w:szCs w:val="20"/>
              </w:rPr>
            </w:pPr>
            <w:r>
              <w:rPr>
                <w:rFonts w:ascii="Arial Nova Light" w:hAnsi="Arial Nova Light"/>
                <w:color w:val="auto"/>
                <w:sz w:val="20"/>
                <w:szCs w:val="20"/>
              </w:rPr>
              <w:t>September 20</w:t>
            </w:r>
            <w:r w:rsidR="002312BD">
              <w:rPr>
                <w:rFonts w:ascii="Arial Nova Light" w:hAnsi="Arial Nova Light"/>
                <w:color w:val="auto"/>
                <w:sz w:val="20"/>
                <w:szCs w:val="20"/>
              </w:rPr>
              <w:t>20</w:t>
            </w:r>
          </w:p>
        </w:tc>
      </w:tr>
      <w:tr w:rsidR="00B7034F" w:rsidRPr="008455BE" w14:paraId="1FFC4D9E" w14:textId="77777777" w:rsidTr="003B0710">
        <w:trPr>
          <w:trHeight w:val="497"/>
        </w:trPr>
        <w:tc>
          <w:tcPr>
            <w:tcW w:w="980" w:type="pct"/>
            <w:shd w:val="clear" w:color="auto" w:fill="F2F2F2" w:themeFill="background1" w:themeFillShade="F2"/>
            <w:vAlign w:val="center"/>
          </w:tcPr>
          <w:p w14:paraId="0210694F" w14:textId="77777777" w:rsidR="00B7034F" w:rsidRPr="00A12D16" w:rsidRDefault="00B7034F" w:rsidP="003B0710">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4AA4AD87" w14:textId="77777777" w:rsidR="00B7034F" w:rsidRPr="00A12D16" w:rsidRDefault="00B7034F" w:rsidP="003B0710">
            <w:pPr>
              <w:pStyle w:val="Default"/>
              <w:rPr>
                <w:rFonts w:ascii="Arial Nova Light" w:hAnsi="Arial Nova Light"/>
                <w:color w:val="auto"/>
                <w:sz w:val="20"/>
                <w:szCs w:val="20"/>
              </w:rPr>
            </w:pPr>
          </w:p>
        </w:tc>
        <w:tc>
          <w:tcPr>
            <w:tcW w:w="3880" w:type="pct"/>
            <w:shd w:val="clear" w:color="auto" w:fill="auto"/>
            <w:vAlign w:val="center"/>
          </w:tcPr>
          <w:p w14:paraId="2AA1E5DE" w14:textId="77777777" w:rsidR="00B7034F" w:rsidRPr="00A12D16" w:rsidRDefault="00B7034F" w:rsidP="003B0710">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2D3A6351" w14:textId="77777777" w:rsidR="00B7034F" w:rsidRDefault="00B7034F" w:rsidP="00B7034F"/>
    <w:p w14:paraId="3400E7C1" w14:textId="77777777" w:rsidR="00B7034F" w:rsidRDefault="00B7034F" w:rsidP="00B7034F"/>
    <w:p w14:paraId="17A0BCF1" w14:textId="77777777" w:rsidR="00326467" w:rsidRDefault="00326467"/>
    <w:sectPr w:rsidR="00326467" w:rsidSect="00363092">
      <w:headerReference w:type="default" r:id="rId13"/>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ma Cooper" w:date="2020-06-24T11:45:00Z" w:initials="EC">
    <w:p w14:paraId="65D92E09" w14:textId="194CCBF5" w:rsidR="00465577" w:rsidRDefault="00465577">
      <w:pPr>
        <w:pStyle w:val="CommentText"/>
      </w:pPr>
      <w:r>
        <w:rPr>
          <w:rStyle w:val="CommentReference"/>
        </w:rPr>
        <w:annotationRef/>
      </w:r>
      <w:r>
        <w:t>Add a question about privacy / objections to liaising with practice</w:t>
      </w:r>
      <w:r w:rsidR="009B2F03">
        <w:t xml:space="preserve"> and updating their health record</w:t>
      </w:r>
    </w:p>
  </w:comment>
  <w:comment w:id="1" w:author="Emma Cooper" w:date="2020-06-24T11:59:00Z" w:initials="EC">
    <w:p w14:paraId="07F814CA" w14:textId="3C0FE375" w:rsidR="003224B2" w:rsidRDefault="003224B2">
      <w:pPr>
        <w:pStyle w:val="CommentText"/>
      </w:pPr>
      <w:r>
        <w:rPr>
          <w:rStyle w:val="CommentReference"/>
        </w:rPr>
        <w:annotationRef/>
      </w:r>
      <w:r>
        <w:t>Possible east coast?</w:t>
      </w:r>
    </w:p>
  </w:comment>
  <w:comment w:id="2" w:author="Emma Cooper" w:date="2020-06-24T12:00:00Z" w:initials="EC">
    <w:p w14:paraId="09E11AC2" w14:textId="7CF33509" w:rsidR="00141CB9" w:rsidRDefault="00141CB9">
      <w:pPr>
        <w:pStyle w:val="CommentText"/>
      </w:pPr>
      <w:r>
        <w:rPr>
          <w:rStyle w:val="CommentReference"/>
        </w:rPr>
        <w:annotationRef/>
      </w:r>
      <w:r>
        <w:t>Checking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D92E09" w15:done="0"/>
  <w15:commentEx w15:paraId="07F814CA" w15:done="0"/>
  <w15:commentEx w15:paraId="09E11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92E09" w16cid:durableId="229DBB57"/>
  <w16cid:commentId w16cid:paraId="07F814CA" w16cid:durableId="229DBE84"/>
  <w16cid:commentId w16cid:paraId="09E11AC2" w16cid:durableId="229DBE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8A7B" w14:textId="77777777" w:rsidR="00BC19DD" w:rsidRDefault="00BC19DD">
      <w:pPr>
        <w:spacing w:line="240" w:lineRule="auto"/>
      </w:pPr>
      <w:r>
        <w:separator/>
      </w:r>
    </w:p>
  </w:endnote>
  <w:endnote w:type="continuationSeparator" w:id="0">
    <w:p w14:paraId="3392A047" w14:textId="77777777" w:rsidR="00BC19DD" w:rsidRDefault="00BC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B947" w14:textId="77777777" w:rsidR="00BC19DD" w:rsidRDefault="00BC19DD">
      <w:pPr>
        <w:spacing w:line="240" w:lineRule="auto"/>
      </w:pPr>
      <w:r>
        <w:separator/>
      </w:r>
    </w:p>
  </w:footnote>
  <w:footnote w:type="continuationSeparator" w:id="0">
    <w:p w14:paraId="40B32E68" w14:textId="77777777" w:rsidR="00BC19DD" w:rsidRDefault="00BC1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5968" w14:textId="77777777" w:rsidR="00371C71" w:rsidRDefault="008C6EB4" w:rsidP="00371C71">
    <w:pPr>
      <w:pStyle w:val="Header"/>
      <w:jc w:val="center"/>
    </w:pPr>
  </w:p>
  <w:p w14:paraId="0EAAB424" w14:textId="77777777" w:rsidR="00371C71" w:rsidRDefault="008C6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3A3"/>
    <w:multiLevelType w:val="hybridMultilevel"/>
    <w:tmpl w:val="8C5E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11A"/>
    <w:multiLevelType w:val="hybridMultilevel"/>
    <w:tmpl w:val="63E6E5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66342"/>
    <w:multiLevelType w:val="hybridMultilevel"/>
    <w:tmpl w:val="660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03F17"/>
    <w:multiLevelType w:val="hybridMultilevel"/>
    <w:tmpl w:val="7E5C1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37979"/>
    <w:multiLevelType w:val="hybridMultilevel"/>
    <w:tmpl w:val="F57C4C78"/>
    <w:lvl w:ilvl="0" w:tplc="B30A0C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1563DEA"/>
    <w:multiLevelType w:val="multilevel"/>
    <w:tmpl w:val="0896B8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BA39D0"/>
    <w:multiLevelType w:val="hybridMultilevel"/>
    <w:tmpl w:val="BBF68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05066"/>
    <w:multiLevelType w:val="hybridMultilevel"/>
    <w:tmpl w:val="1EB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C4159"/>
    <w:multiLevelType w:val="hybridMultilevel"/>
    <w:tmpl w:val="C700C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B61527"/>
    <w:multiLevelType w:val="hybridMultilevel"/>
    <w:tmpl w:val="731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F3296"/>
    <w:multiLevelType w:val="hybridMultilevel"/>
    <w:tmpl w:val="FA80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0"/>
  </w:num>
  <w:num w:numId="10">
    <w:abstractNumId w:val="8"/>
  </w:num>
  <w:num w:numId="11">
    <w:abstractNumId w:val="3"/>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Cooper">
    <w15:presenceInfo w15:providerId="None" w15:userId="Emma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4F"/>
    <w:rsid w:val="00000018"/>
    <w:rsid w:val="000008C3"/>
    <w:rsid w:val="00045C12"/>
    <w:rsid w:val="000672F3"/>
    <w:rsid w:val="000B1428"/>
    <w:rsid w:val="000B5816"/>
    <w:rsid w:val="000B7E7B"/>
    <w:rsid w:val="000D290E"/>
    <w:rsid w:val="000E0E05"/>
    <w:rsid w:val="00110A80"/>
    <w:rsid w:val="00141CB9"/>
    <w:rsid w:val="00161AA9"/>
    <w:rsid w:val="0017766A"/>
    <w:rsid w:val="001B1EF8"/>
    <w:rsid w:val="001D5818"/>
    <w:rsid w:val="001E304A"/>
    <w:rsid w:val="001F2420"/>
    <w:rsid w:val="00206A66"/>
    <w:rsid w:val="002206C7"/>
    <w:rsid w:val="002312BD"/>
    <w:rsid w:val="00251D02"/>
    <w:rsid w:val="002521B0"/>
    <w:rsid w:val="00252F5D"/>
    <w:rsid w:val="002563FD"/>
    <w:rsid w:val="00274FBA"/>
    <w:rsid w:val="00281718"/>
    <w:rsid w:val="00297DA8"/>
    <w:rsid w:val="002A0EF7"/>
    <w:rsid w:val="002B1816"/>
    <w:rsid w:val="002B2384"/>
    <w:rsid w:val="002B29F1"/>
    <w:rsid w:val="002D68C1"/>
    <w:rsid w:val="002F75EC"/>
    <w:rsid w:val="003224B2"/>
    <w:rsid w:val="00326467"/>
    <w:rsid w:val="00363F62"/>
    <w:rsid w:val="003806D7"/>
    <w:rsid w:val="003869B3"/>
    <w:rsid w:val="00387B49"/>
    <w:rsid w:val="003927E8"/>
    <w:rsid w:val="00394C30"/>
    <w:rsid w:val="00397320"/>
    <w:rsid w:val="003B08A6"/>
    <w:rsid w:val="003B420E"/>
    <w:rsid w:val="003C2611"/>
    <w:rsid w:val="003C27E3"/>
    <w:rsid w:val="003C6228"/>
    <w:rsid w:val="003D3143"/>
    <w:rsid w:val="00401E25"/>
    <w:rsid w:val="00410EF5"/>
    <w:rsid w:val="004156F7"/>
    <w:rsid w:val="00441ECD"/>
    <w:rsid w:val="00441F14"/>
    <w:rsid w:val="004536B9"/>
    <w:rsid w:val="00463A83"/>
    <w:rsid w:val="00465577"/>
    <w:rsid w:val="0048581B"/>
    <w:rsid w:val="004C1530"/>
    <w:rsid w:val="00504AE3"/>
    <w:rsid w:val="00521202"/>
    <w:rsid w:val="00544A7D"/>
    <w:rsid w:val="00550B67"/>
    <w:rsid w:val="00553A0E"/>
    <w:rsid w:val="005625A3"/>
    <w:rsid w:val="005717BD"/>
    <w:rsid w:val="00583934"/>
    <w:rsid w:val="005A04A7"/>
    <w:rsid w:val="006034C3"/>
    <w:rsid w:val="00625CDF"/>
    <w:rsid w:val="006640D2"/>
    <w:rsid w:val="00672359"/>
    <w:rsid w:val="00684B0B"/>
    <w:rsid w:val="006F1705"/>
    <w:rsid w:val="006F262F"/>
    <w:rsid w:val="006F57AD"/>
    <w:rsid w:val="0076774C"/>
    <w:rsid w:val="00775FC3"/>
    <w:rsid w:val="00776847"/>
    <w:rsid w:val="00784FD5"/>
    <w:rsid w:val="007D1670"/>
    <w:rsid w:val="007D2591"/>
    <w:rsid w:val="00802EB2"/>
    <w:rsid w:val="00806189"/>
    <w:rsid w:val="008430BB"/>
    <w:rsid w:val="00850224"/>
    <w:rsid w:val="00851040"/>
    <w:rsid w:val="008721DD"/>
    <w:rsid w:val="008A1D58"/>
    <w:rsid w:val="008A44EF"/>
    <w:rsid w:val="008A4708"/>
    <w:rsid w:val="008B0146"/>
    <w:rsid w:val="008C6EB4"/>
    <w:rsid w:val="00905FE9"/>
    <w:rsid w:val="009077A9"/>
    <w:rsid w:val="00930C5D"/>
    <w:rsid w:val="00944897"/>
    <w:rsid w:val="0095755D"/>
    <w:rsid w:val="009726B9"/>
    <w:rsid w:val="009774A5"/>
    <w:rsid w:val="00977A50"/>
    <w:rsid w:val="009829B4"/>
    <w:rsid w:val="00987F7C"/>
    <w:rsid w:val="009A5B90"/>
    <w:rsid w:val="009B2F03"/>
    <w:rsid w:val="00A14BA5"/>
    <w:rsid w:val="00A2275D"/>
    <w:rsid w:val="00A349E5"/>
    <w:rsid w:val="00A35A63"/>
    <w:rsid w:val="00A41DCB"/>
    <w:rsid w:val="00A466B0"/>
    <w:rsid w:val="00A65E36"/>
    <w:rsid w:val="00A65E78"/>
    <w:rsid w:val="00A85670"/>
    <w:rsid w:val="00A91F36"/>
    <w:rsid w:val="00AC3F85"/>
    <w:rsid w:val="00AD1833"/>
    <w:rsid w:val="00AD60FE"/>
    <w:rsid w:val="00AF19D2"/>
    <w:rsid w:val="00AF2AEC"/>
    <w:rsid w:val="00B55D7E"/>
    <w:rsid w:val="00B679CB"/>
    <w:rsid w:val="00B67D98"/>
    <w:rsid w:val="00B7034F"/>
    <w:rsid w:val="00B76C2C"/>
    <w:rsid w:val="00BB3B9A"/>
    <w:rsid w:val="00BB4C1B"/>
    <w:rsid w:val="00BB5040"/>
    <w:rsid w:val="00BB5442"/>
    <w:rsid w:val="00BC19DD"/>
    <w:rsid w:val="00BD2EF5"/>
    <w:rsid w:val="00BF4C29"/>
    <w:rsid w:val="00C053C8"/>
    <w:rsid w:val="00C17D18"/>
    <w:rsid w:val="00C2147F"/>
    <w:rsid w:val="00C2450E"/>
    <w:rsid w:val="00C45B7E"/>
    <w:rsid w:val="00C55DC6"/>
    <w:rsid w:val="00C76ADF"/>
    <w:rsid w:val="00C77460"/>
    <w:rsid w:val="00CC1EC2"/>
    <w:rsid w:val="00CC377F"/>
    <w:rsid w:val="00CE2063"/>
    <w:rsid w:val="00CE7923"/>
    <w:rsid w:val="00CF0038"/>
    <w:rsid w:val="00CF3C11"/>
    <w:rsid w:val="00CF4A19"/>
    <w:rsid w:val="00CF640F"/>
    <w:rsid w:val="00D00E4B"/>
    <w:rsid w:val="00D0177B"/>
    <w:rsid w:val="00D6019F"/>
    <w:rsid w:val="00D83739"/>
    <w:rsid w:val="00DA02D8"/>
    <w:rsid w:val="00DF0A26"/>
    <w:rsid w:val="00DF4347"/>
    <w:rsid w:val="00DF5A35"/>
    <w:rsid w:val="00E5137F"/>
    <w:rsid w:val="00E65222"/>
    <w:rsid w:val="00E86619"/>
    <w:rsid w:val="00EA1790"/>
    <w:rsid w:val="00EB48CB"/>
    <w:rsid w:val="00EB6DC5"/>
    <w:rsid w:val="00ED14B8"/>
    <w:rsid w:val="00ED1B08"/>
    <w:rsid w:val="00F12D2C"/>
    <w:rsid w:val="00F1572B"/>
    <w:rsid w:val="00F20FD1"/>
    <w:rsid w:val="00F3258E"/>
    <w:rsid w:val="00F325E5"/>
    <w:rsid w:val="00F3741E"/>
    <w:rsid w:val="00F614C0"/>
    <w:rsid w:val="00F62369"/>
    <w:rsid w:val="00F70EDA"/>
    <w:rsid w:val="00F902BE"/>
    <w:rsid w:val="00FA0364"/>
    <w:rsid w:val="00FA0E1C"/>
    <w:rsid w:val="00FA1383"/>
    <w:rsid w:val="00FA2B8B"/>
    <w:rsid w:val="00FB191E"/>
    <w:rsid w:val="00FB2635"/>
    <w:rsid w:val="00FC3D63"/>
    <w:rsid w:val="00FC7E2F"/>
    <w:rsid w:val="00FD3820"/>
    <w:rsid w:val="00FF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990"/>
  <w15:chartTrackingRefBased/>
  <w15:docId w15:val="{103C2817-FF04-4988-8F4B-C3E855ED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34F"/>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B7034F"/>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034F"/>
    <w:rPr>
      <w:rFonts w:ascii="Arial Nova Light" w:eastAsia="Times New Roman" w:hAnsi="Arial Nova Light" w:cs="Times New Roman"/>
      <w:bCs/>
      <w:color w:val="4472C4"/>
      <w:sz w:val="28"/>
      <w:szCs w:val="24"/>
    </w:rPr>
  </w:style>
  <w:style w:type="character" w:styleId="Hyperlink">
    <w:name w:val="Hyperlink"/>
    <w:uiPriority w:val="99"/>
    <w:rsid w:val="00B7034F"/>
    <w:rPr>
      <w:color w:val="0000FF"/>
      <w:u w:val="single"/>
    </w:rPr>
  </w:style>
  <w:style w:type="paragraph" w:customStyle="1" w:styleId="Default">
    <w:name w:val="Default"/>
    <w:rsid w:val="00B703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7034F"/>
    <w:pPr>
      <w:ind w:left="720"/>
      <w:contextualSpacing/>
    </w:pPr>
  </w:style>
  <w:style w:type="table" w:styleId="TableGrid">
    <w:name w:val="Table Grid"/>
    <w:basedOn w:val="TableNormal"/>
    <w:uiPriority w:val="39"/>
    <w:rsid w:val="00B7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034F"/>
    <w:rPr>
      <w:sz w:val="16"/>
      <w:szCs w:val="16"/>
    </w:rPr>
  </w:style>
  <w:style w:type="paragraph" w:styleId="CommentText">
    <w:name w:val="annotation text"/>
    <w:basedOn w:val="Normal"/>
    <w:link w:val="CommentTextChar"/>
    <w:uiPriority w:val="99"/>
    <w:semiHidden/>
    <w:unhideWhenUsed/>
    <w:rsid w:val="00B7034F"/>
    <w:pPr>
      <w:spacing w:line="240" w:lineRule="auto"/>
    </w:pPr>
    <w:rPr>
      <w:sz w:val="20"/>
      <w:szCs w:val="20"/>
    </w:rPr>
  </w:style>
  <w:style w:type="character" w:customStyle="1" w:styleId="CommentTextChar">
    <w:name w:val="Comment Text Char"/>
    <w:basedOn w:val="DefaultParagraphFont"/>
    <w:link w:val="CommentText"/>
    <w:uiPriority w:val="99"/>
    <w:semiHidden/>
    <w:rsid w:val="00B7034F"/>
    <w:rPr>
      <w:rFonts w:ascii="Arial Nova Light" w:eastAsia="Times New Roman" w:hAnsi="Arial Nova Light" w:cs="Times New Roman"/>
      <w:sz w:val="20"/>
      <w:szCs w:val="20"/>
    </w:rPr>
  </w:style>
  <w:style w:type="paragraph" w:styleId="Header">
    <w:name w:val="header"/>
    <w:basedOn w:val="Normal"/>
    <w:link w:val="HeaderChar"/>
    <w:uiPriority w:val="99"/>
    <w:unhideWhenUsed/>
    <w:rsid w:val="00B7034F"/>
    <w:pPr>
      <w:tabs>
        <w:tab w:val="center" w:pos="4513"/>
        <w:tab w:val="right" w:pos="9026"/>
      </w:tabs>
      <w:spacing w:line="240" w:lineRule="auto"/>
    </w:pPr>
  </w:style>
  <w:style w:type="character" w:customStyle="1" w:styleId="HeaderChar">
    <w:name w:val="Header Char"/>
    <w:basedOn w:val="DefaultParagraphFont"/>
    <w:link w:val="Header"/>
    <w:uiPriority w:val="99"/>
    <w:rsid w:val="00B7034F"/>
    <w:rPr>
      <w:rFonts w:ascii="Arial Nova Light" w:eastAsia="Times New Roman" w:hAnsi="Arial Nova Light" w:cs="Times New Roman"/>
      <w:szCs w:val="24"/>
    </w:rPr>
  </w:style>
  <w:style w:type="paragraph" w:styleId="BalloonText">
    <w:name w:val="Balloon Text"/>
    <w:basedOn w:val="Normal"/>
    <w:link w:val="BalloonTextChar"/>
    <w:uiPriority w:val="99"/>
    <w:semiHidden/>
    <w:unhideWhenUsed/>
    <w:rsid w:val="00B703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4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52F5D"/>
    <w:rPr>
      <w:b/>
      <w:bCs/>
    </w:rPr>
  </w:style>
  <w:style w:type="character" w:customStyle="1" w:styleId="CommentSubjectChar">
    <w:name w:val="Comment Subject Char"/>
    <w:basedOn w:val="CommentTextChar"/>
    <w:link w:val="CommentSubject"/>
    <w:uiPriority w:val="99"/>
    <w:semiHidden/>
    <w:rsid w:val="00252F5D"/>
    <w:rPr>
      <w:rFonts w:ascii="Arial Nova Light" w:eastAsia="Times New Roman" w:hAnsi="Arial Nova Light" w:cs="Times New Roman"/>
      <w:b/>
      <w:bCs/>
      <w:sz w:val="20"/>
      <w:szCs w:val="20"/>
    </w:rPr>
  </w:style>
  <w:style w:type="character" w:styleId="UnresolvedMention">
    <w:name w:val="Unresolved Mention"/>
    <w:basedOn w:val="DefaultParagraphFont"/>
    <w:uiPriority w:val="99"/>
    <w:semiHidden/>
    <w:unhideWhenUsed/>
    <w:rsid w:val="00A46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090BB-F9CA-4A12-9A60-B6409AEE4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53D71-1B23-47CC-A9A3-316C5AD10B70}">
  <ds:schemaRefs>
    <ds:schemaRef ds:uri="http://schemas.microsoft.com/sharepoint/v3/contenttype/forms"/>
  </ds:schemaRefs>
</ds:datastoreItem>
</file>

<file path=customXml/itemProps3.xml><?xml version="1.0" encoding="utf-8"?>
<ds:datastoreItem xmlns:ds="http://schemas.openxmlformats.org/officeDocument/2006/customXml" ds:itemID="{F2E6B8B2-AF98-41D3-86C1-BFE07B24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Kafico Admin</dc:creator>
  <cp:keywords/>
  <dc:description/>
  <cp:lastModifiedBy>Emma Cooper</cp:lastModifiedBy>
  <cp:revision>73</cp:revision>
  <dcterms:created xsi:type="dcterms:W3CDTF">2020-06-24T10:26:00Z</dcterms:created>
  <dcterms:modified xsi:type="dcterms:W3CDTF">2020-06-24T11:37:00Z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