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2170" w14:textId="62E170F7" w:rsidR="00F820AA" w:rsidRDefault="005C7CC9" w:rsidP="00306245">
      <w:pPr>
        <w:pStyle w:val="Heading2"/>
        <w:jc w:val="center"/>
        <w:rPr>
          <w:rStyle w:val="Hyperlink"/>
        </w:rPr>
      </w:pPr>
      <w:r>
        <w:rPr>
          <w:rStyle w:val="Hyperlink"/>
        </w:rPr>
        <w:t>Primary Care Mental Health Service</w:t>
      </w:r>
      <w:r w:rsidR="008E28FD" w:rsidRPr="008E28FD">
        <w:rPr>
          <w:rStyle w:val="Hyperlink"/>
        </w:rPr>
        <w:t xml:space="preserve"> – </w:t>
      </w:r>
      <w:r w:rsidR="00815BA0">
        <w:rPr>
          <w:rStyle w:val="Hyperlink"/>
        </w:rPr>
        <w:t xml:space="preserve">Information Sharing Protocol </w:t>
      </w:r>
    </w:p>
    <w:p w14:paraId="59139199" w14:textId="5EC5722C" w:rsidR="008E28FD" w:rsidRDefault="008E28FD" w:rsidP="008E28FD"/>
    <w:p w14:paraId="72E5DED7" w14:textId="404B09E6" w:rsidR="00E117CC" w:rsidRPr="00E117CC" w:rsidRDefault="00E117CC" w:rsidP="00E117CC">
      <w:pPr>
        <w:rPr>
          <w:rFonts w:cs="Arial"/>
          <w:color w:val="000000"/>
          <w:szCs w:val="22"/>
          <w:lang w:eastAsia="en-GB"/>
        </w:rPr>
      </w:pPr>
      <w:r w:rsidRPr="00E117CC">
        <w:rPr>
          <w:rFonts w:cs="Arial"/>
          <w:color w:val="000000"/>
          <w:szCs w:val="22"/>
          <w:lang w:eastAsia="en-GB"/>
        </w:rPr>
        <w:t>Health &amp; Social Care Information Sharing Agreement West Suffolk, Ipswich &amp; East Suffolk and North East Essex STP Partners (ISA) is not a legally enforceable document or a contract. The overarching agreement identifies best practice for systematic data sharing of health and social care information between signatories and this Information Sharing Protocol sits beneath the ISA</w:t>
      </w:r>
      <w:r w:rsidR="00626714">
        <w:rPr>
          <w:rFonts w:cs="Arial"/>
          <w:color w:val="000000"/>
          <w:szCs w:val="22"/>
          <w:lang w:eastAsia="en-GB"/>
        </w:rPr>
        <w:t xml:space="preserve"> to provide granular detail of this particular arrangement whereby the parties have </w:t>
      </w:r>
      <w:r w:rsidR="00F62B35" w:rsidRPr="00F62B35">
        <w:rPr>
          <w:rFonts w:cs="Arial"/>
          <w:color w:val="000000"/>
          <w:szCs w:val="22"/>
          <w:lang w:eastAsia="en-GB"/>
        </w:rPr>
        <w:t xml:space="preserve">entered a </w:t>
      </w:r>
      <w:r w:rsidR="00B274DA">
        <w:rPr>
          <w:rFonts w:cs="Arial"/>
          <w:color w:val="000000"/>
          <w:szCs w:val="22"/>
          <w:lang w:eastAsia="en-GB"/>
        </w:rPr>
        <w:t xml:space="preserve">joint </w:t>
      </w:r>
      <w:bookmarkStart w:id="0" w:name="_GoBack"/>
      <w:bookmarkEnd w:id="0"/>
      <w:r w:rsidR="00B274DA">
        <w:rPr>
          <w:rFonts w:cs="Arial"/>
          <w:color w:val="000000"/>
          <w:szCs w:val="22"/>
          <w:lang w:eastAsia="en-GB"/>
        </w:rPr>
        <w:t>controller</w:t>
      </w:r>
      <w:r w:rsidR="00B274DA" w:rsidRPr="00F62B35">
        <w:rPr>
          <w:rFonts w:cs="Arial"/>
          <w:color w:val="000000"/>
          <w:szCs w:val="22"/>
          <w:lang w:eastAsia="en-GB"/>
        </w:rPr>
        <w:t xml:space="preserve"> arrangement</w:t>
      </w:r>
    </w:p>
    <w:p w14:paraId="77A2D0BE" w14:textId="77777777" w:rsidR="00E117CC" w:rsidRPr="00E117CC" w:rsidRDefault="00E117CC" w:rsidP="00E117CC">
      <w:pPr>
        <w:rPr>
          <w:rFonts w:cs="Arial"/>
          <w:color w:val="000000"/>
          <w:szCs w:val="22"/>
          <w:lang w:eastAsia="en-GB"/>
        </w:rPr>
      </w:pPr>
    </w:p>
    <w:p w14:paraId="57B9E8C9" w14:textId="3C2F05EE" w:rsidR="008E28FD" w:rsidRPr="008E28FD" w:rsidRDefault="00E117CC" w:rsidP="00E117CC">
      <w:r w:rsidRPr="00E117CC">
        <w:rPr>
          <w:rFonts w:cs="Arial"/>
          <w:color w:val="000000"/>
          <w:szCs w:val="22"/>
          <w:lang w:eastAsia="en-GB"/>
        </w:rPr>
        <w:t>The ISP is provided to all parties to support risk mitigation and to provide a consistent approach to managing data flows that are already routinely occurring.</w:t>
      </w:r>
    </w:p>
    <w:tbl>
      <w:tblPr>
        <w:tblW w:w="5000" w:type="pct"/>
        <w:tblLook w:val="04A0" w:firstRow="1" w:lastRow="0" w:firstColumn="1" w:lastColumn="0" w:noHBand="0" w:noVBand="1"/>
      </w:tblPr>
      <w:tblGrid>
        <w:gridCol w:w="429"/>
        <w:gridCol w:w="40"/>
        <w:gridCol w:w="3926"/>
        <w:gridCol w:w="311"/>
        <w:gridCol w:w="6611"/>
        <w:gridCol w:w="277"/>
        <w:gridCol w:w="3508"/>
        <w:gridCol w:w="296"/>
      </w:tblGrid>
      <w:tr w:rsidR="009074A8" w:rsidRPr="0049256C" w14:paraId="3E344A71" w14:textId="77777777" w:rsidTr="00B83221">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0125D0CB" w14:textId="77777777" w:rsidR="009074A8" w:rsidRPr="0049256C" w:rsidRDefault="009074A8" w:rsidP="00932538">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2C7AE53" w14:textId="77777777" w:rsidR="009074A8" w:rsidRPr="0049256C" w:rsidRDefault="009074A8" w:rsidP="00932538">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617770EE" w14:textId="77777777" w:rsidR="009074A8" w:rsidRPr="0049256C" w:rsidRDefault="009074A8" w:rsidP="00932538">
            <w:pPr>
              <w:spacing w:line="240" w:lineRule="auto"/>
              <w:jc w:val="center"/>
              <w:rPr>
                <w:rFonts w:cs="Calibri"/>
                <w:color w:val="000000"/>
                <w:szCs w:val="22"/>
                <w:lang w:eastAsia="en-GB"/>
              </w:rPr>
            </w:pPr>
            <w:r w:rsidRPr="0049256C">
              <w:rPr>
                <w:rFonts w:cs="Calibri"/>
                <w:color w:val="000000"/>
                <w:szCs w:val="22"/>
                <w:lang w:eastAsia="en-GB"/>
              </w:rPr>
              <w:t> </w:t>
            </w:r>
          </w:p>
        </w:tc>
      </w:tr>
      <w:tr w:rsidR="007E795B" w:rsidRPr="0049256C" w14:paraId="3A6F9E12" w14:textId="77777777" w:rsidTr="00B83221">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7718A977" w14:textId="5D91BEC1"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sidR="008E28FD">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082A20F6"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533F320A" w14:textId="16EC8D33" w:rsidR="00F820AA" w:rsidRPr="00FA5A29" w:rsidRDefault="00957BD0" w:rsidP="00932538">
            <w:pPr>
              <w:spacing w:line="240" w:lineRule="auto"/>
              <w:rPr>
                <w:rFonts w:cs="Calibri"/>
                <w:bCs/>
                <w:color w:val="000000"/>
                <w:sz w:val="20"/>
                <w:szCs w:val="20"/>
                <w:lang w:eastAsia="en-GB"/>
              </w:rPr>
            </w:pPr>
            <w:r>
              <w:rPr>
                <w:rFonts w:cs="Calibri"/>
                <w:bCs/>
                <w:color w:val="000000"/>
                <w:sz w:val="20"/>
                <w:szCs w:val="20"/>
                <w:lang w:eastAsia="en-GB"/>
              </w:rPr>
              <w:t>Pharmacy Support Service</w:t>
            </w:r>
          </w:p>
        </w:tc>
      </w:tr>
      <w:tr w:rsidR="006B2A35" w:rsidRPr="0049256C" w14:paraId="56352FAE" w14:textId="77777777" w:rsidTr="00B83221">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670FFCB7" w14:textId="77777777" w:rsidR="00F820AA" w:rsidRPr="0049256C" w:rsidRDefault="00F820AA" w:rsidP="00932538">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6B5EF310" w14:textId="77777777" w:rsidR="00F820AA" w:rsidRPr="0049256C" w:rsidRDefault="00F820AA" w:rsidP="00932538">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349F8CF2" w14:textId="77777777" w:rsidR="00F820AA" w:rsidRPr="0049256C" w:rsidRDefault="00F820AA" w:rsidP="00306245">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67EEFB8D" w14:textId="77777777" w:rsidR="00F820AA" w:rsidRPr="0049256C" w:rsidRDefault="00F820AA" w:rsidP="00932538">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020ED9" w:rsidRPr="0049256C" w14:paraId="144D3FF4" w14:textId="77777777" w:rsidTr="00B83221">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1730FC9"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4631693C"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537AE1" w14:textId="77777777" w:rsidR="00306245" w:rsidRDefault="00306245" w:rsidP="00306245">
            <w:pPr>
              <w:spacing w:line="240" w:lineRule="auto"/>
              <w:rPr>
                <w:rFonts w:cs="Calibri"/>
                <w:color w:val="000000"/>
                <w:sz w:val="20"/>
                <w:szCs w:val="20"/>
                <w:lang w:eastAsia="en-GB"/>
              </w:rPr>
            </w:pPr>
          </w:p>
          <w:p w14:paraId="20A47A16" w14:textId="0B15C1C3" w:rsidR="00E117CC" w:rsidRDefault="00E117CC" w:rsidP="004B0F2E">
            <w:pPr>
              <w:spacing w:line="240" w:lineRule="auto"/>
              <w:rPr>
                <w:rFonts w:cs="Calibri"/>
                <w:color w:val="000000"/>
                <w:sz w:val="20"/>
                <w:szCs w:val="20"/>
                <w:lang w:eastAsia="en-GB"/>
              </w:rPr>
            </w:pPr>
            <w:r>
              <w:rPr>
                <w:rFonts w:cs="Calibri"/>
                <w:color w:val="000000"/>
                <w:sz w:val="20"/>
                <w:szCs w:val="20"/>
                <w:lang w:eastAsia="en-GB"/>
              </w:rPr>
              <w:t>This document provides a formal agreement and associated actions in relation to the collection, access and transfer of personal and sensitive (special category data) the purposes of</w:t>
            </w:r>
            <w:r w:rsidR="004B0F2E">
              <w:rPr>
                <w:rFonts w:cs="Calibri"/>
                <w:color w:val="000000"/>
                <w:sz w:val="20"/>
                <w:szCs w:val="20"/>
                <w:lang w:eastAsia="en-GB"/>
              </w:rPr>
              <w:t>;</w:t>
            </w:r>
          </w:p>
          <w:p w14:paraId="5CB712D4" w14:textId="765A49AC" w:rsidR="004B0F2E" w:rsidRDefault="004B0F2E" w:rsidP="004B0F2E">
            <w:pPr>
              <w:spacing w:line="240" w:lineRule="auto"/>
              <w:rPr>
                <w:rFonts w:cs="Calibri"/>
                <w:color w:val="000000"/>
                <w:sz w:val="20"/>
                <w:szCs w:val="20"/>
                <w:lang w:eastAsia="en-GB"/>
              </w:rPr>
            </w:pPr>
          </w:p>
          <w:p w14:paraId="0E44C4AE" w14:textId="77777777" w:rsidR="00957BD0" w:rsidRPr="00B274DA" w:rsidRDefault="00957BD0" w:rsidP="00957BD0">
            <w:pPr>
              <w:pStyle w:val="ListParagraph"/>
              <w:numPr>
                <w:ilvl w:val="0"/>
                <w:numId w:val="15"/>
              </w:numPr>
              <w:spacing w:line="240" w:lineRule="auto"/>
              <w:rPr>
                <w:rFonts w:cs="Calibri"/>
                <w:color w:val="000000"/>
                <w:sz w:val="20"/>
                <w:szCs w:val="20"/>
                <w:lang w:eastAsia="en-GB"/>
              </w:rPr>
            </w:pPr>
            <w:r w:rsidRPr="00B274DA">
              <w:rPr>
                <w:rFonts w:cs="Calibri"/>
                <w:color w:val="000000"/>
                <w:sz w:val="20"/>
                <w:szCs w:val="20"/>
                <w:lang w:eastAsia="en-GB"/>
              </w:rPr>
              <w:t xml:space="preserve">To transfer medication related workload and tasks that would have previously been undertaken by GPs in practices, to a team of Federation employed pharmacists. </w:t>
            </w:r>
          </w:p>
          <w:p w14:paraId="00C93297" w14:textId="4BDC0F43" w:rsidR="004B0F2E" w:rsidRPr="009D6A44" w:rsidRDefault="00957BD0" w:rsidP="00957BD0">
            <w:pPr>
              <w:pStyle w:val="ListParagraph"/>
              <w:numPr>
                <w:ilvl w:val="0"/>
                <w:numId w:val="15"/>
              </w:numPr>
              <w:spacing w:line="240" w:lineRule="auto"/>
              <w:rPr>
                <w:rFonts w:cs="Calibri"/>
                <w:color w:val="000000"/>
                <w:sz w:val="20"/>
                <w:szCs w:val="20"/>
                <w:lang w:eastAsia="en-GB"/>
              </w:rPr>
            </w:pPr>
            <w:r w:rsidRPr="00B274DA">
              <w:rPr>
                <w:rFonts w:cs="Calibri"/>
                <w:color w:val="000000"/>
                <w:sz w:val="20"/>
                <w:szCs w:val="20"/>
                <w:lang w:eastAsia="en-GB"/>
              </w:rPr>
              <w:t>For the pharmacists to operate as a team, working remotely and face to face across groups of practices and with a range of expertise to maximise the number of tasks that can be completed without practice GP input</w:t>
            </w:r>
          </w:p>
          <w:p w14:paraId="60EC59DC" w14:textId="77777777" w:rsidR="00E117CC" w:rsidRDefault="00E117CC" w:rsidP="00E117CC">
            <w:pPr>
              <w:spacing w:line="240" w:lineRule="auto"/>
              <w:rPr>
                <w:rFonts w:cs="Calibri"/>
                <w:color w:val="000000"/>
                <w:sz w:val="20"/>
                <w:szCs w:val="20"/>
                <w:lang w:eastAsia="en-GB"/>
              </w:rPr>
            </w:pPr>
          </w:p>
          <w:p w14:paraId="676852FE" w14:textId="3E550CC2" w:rsidR="00E117CC" w:rsidRDefault="009D6A44" w:rsidP="00E117CC">
            <w:pPr>
              <w:spacing w:line="240" w:lineRule="auto"/>
              <w:jc w:val="both"/>
              <w:rPr>
                <w:rFonts w:cs="Calibri"/>
                <w:color w:val="000000"/>
                <w:sz w:val="20"/>
                <w:szCs w:val="20"/>
                <w:lang w:eastAsia="en-GB"/>
              </w:rPr>
            </w:pPr>
            <w:r>
              <w:rPr>
                <w:rFonts w:cs="Calibri"/>
                <w:color w:val="000000"/>
                <w:sz w:val="20"/>
                <w:szCs w:val="20"/>
                <w:lang w:eastAsia="en-GB"/>
              </w:rPr>
              <w:t>The data flows are as follows;</w:t>
            </w:r>
          </w:p>
          <w:p w14:paraId="133B7933" w14:textId="217E45AF" w:rsidR="00E117CC" w:rsidRDefault="00E117CC" w:rsidP="00E117CC">
            <w:pPr>
              <w:spacing w:line="240" w:lineRule="auto"/>
              <w:rPr>
                <w:rFonts w:cs="Calibri"/>
                <w:color w:val="000000"/>
                <w:sz w:val="20"/>
                <w:szCs w:val="20"/>
                <w:lang w:eastAsia="en-GB"/>
              </w:rPr>
            </w:pPr>
            <w:r w:rsidRPr="00E117CC">
              <w:rPr>
                <w:rFonts w:cs="Calibri"/>
                <w:color w:val="000000"/>
                <w:sz w:val="20"/>
                <w:szCs w:val="20"/>
                <w:lang w:eastAsia="en-GB"/>
              </w:rPr>
              <w:t xml:space="preserve">  </w:t>
            </w:r>
          </w:p>
          <w:p w14:paraId="0ABC964B" w14:textId="11C0BE3F" w:rsidR="005E2D7F" w:rsidRPr="005E2D7F" w:rsidRDefault="005E2D7F" w:rsidP="005E2D7F">
            <w:pPr>
              <w:pStyle w:val="ListParagraph"/>
              <w:spacing w:line="240" w:lineRule="auto"/>
              <w:ind w:left="360"/>
              <w:rPr>
                <w:rFonts w:cs="Calibri"/>
                <w:color w:val="000000"/>
                <w:sz w:val="20"/>
                <w:szCs w:val="20"/>
                <w:lang w:eastAsia="en-GB"/>
              </w:rPr>
            </w:pPr>
            <w:r w:rsidRPr="005E2D7F">
              <w:rPr>
                <w:rFonts w:cs="Calibri"/>
                <w:color w:val="000000"/>
                <w:sz w:val="20"/>
                <w:szCs w:val="20"/>
                <w:lang w:eastAsia="en-GB"/>
              </w:rPr>
              <w:t xml:space="preserve">1. </w:t>
            </w:r>
            <w:r>
              <w:rPr>
                <w:rFonts w:cs="Calibri"/>
                <w:color w:val="000000"/>
                <w:sz w:val="20"/>
                <w:szCs w:val="20"/>
                <w:lang w:eastAsia="en-GB"/>
              </w:rPr>
              <w:t>P</w:t>
            </w:r>
            <w:r w:rsidRPr="005E2D7F">
              <w:rPr>
                <w:rFonts w:cs="Calibri"/>
                <w:color w:val="000000"/>
                <w:sz w:val="20"/>
                <w:szCs w:val="20"/>
                <w:lang w:eastAsia="en-GB"/>
              </w:rPr>
              <w:t xml:space="preserve">ractice add </w:t>
            </w:r>
            <w:r>
              <w:rPr>
                <w:rFonts w:cs="Calibri"/>
                <w:color w:val="000000"/>
                <w:sz w:val="20"/>
                <w:szCs w:val="20"/>
                <w:lang w:eastAsia="en-GB"/>
              </w:rPr>
              <w:t xml:space="preserve">relevant </w:t>
            </w:r>
            <w:r w:rsidR="00957BD0">
              <w:rPr>
                <w:rFonts w:cs="Calibri"/>
                <w:color w:val="000000"/>
                <w:sz w:val="20"/>
                <w:szCs w:val="20"/>
                <w:lang w:eastAsia="en-GB"/>
              </w:rPr>
              <w:t xml:space="preserve">medication related work </w:t>
            </w:r>
            <w:r w:rsidR="00DF57DC">
              <w:rPr>
                <w:rFonts w:cs="Calibri"/>
                <w:color w:val="000000"/>
                <w:sz w:val="20"/>
                <w:szCs w:val="20"/>
                <w:lang w:eastAsia="en-GB"/>
              </w:rPr>
              <w:t>for their</w:t>
            </w:r>
            <w:r w:rsidR="00957BD0">
              <w:rPr>
                <w:rFonts w:cs="Calibri"/>
                <w:color w:val="000000"/>
                <w:sz w:val="20"/>
                <w:szCs w:val="20"/>
                <w:lang w:eastAsia="en-GB"/>
              </w:rPr>
              <w:t xml:space="preserve"> </w:t>
            </w:r>
            <w:r w:rsidRPr="005E2D7F">
              <w:rPr>
                <w:rFonts w:cs="Calibri"/>
                <w:color w:val="000000"/>
                <w:sz w:val="20"/>
                <w:szCs w:val="20"/>
                <w:lang w:eastAsia="en-GB"/>
              </w:rPr>
              <w:t xml:space="preserve">patients to </w:t>
            </w:r>
            <w:r w:rsidR="00DF57DC">
              <w:rPr>
                <w:rFonts w:cs="Calibri"/>
                <w:color w:val="000000"/>
                <w:sz w:val="20"/>
                <w:szCs w:val="20"/>
                <w:lang w:eastAsia="en-GB"/>
              </w:rPr>
              <w:t xml:space="preserve">the pharmacist </w:t>
            </w:r>
            <w:r w:rsidR="00957BD0">
              <w:rPr>
                <w:rFonts w:cs="Calibri"/>
                <w:color w:val="000000"/>
                <w:sz w:val="20"/>
                <w:szCs w:val="20"/>
                <w:lang w:eastAsia="en-GB"/>
              </w:rPr>
              <w:t xml:space="preserve">ledger </w:t>
            </w:r>
            <w:r w:rsidRPr="005E2D7F">
              <w:rPr>
                <w:rFonts w:cs="Calibri"/>
                <w:color w:val="000000"/>
                <w:sz w:val="20"/>
                <w:szCs w:val="20"/>
                <w:lang w:eastAsia="en-GB"/>
              </w:rPr>
              <w:t xml:space="preserve">within </w:t>
            </w:r>
            <w:r>
              <w:rPr>
                <w:rFonts w:cs="Calibri"/>
                <w:color w:val="000000"/>
                <w:sz w:val="20"/>
                <w:szCs w:val="20"/>
                <w:lang w:eastAsia="en-GB"/>
              </w:rPr>
              <w:t>S</w:t>
            </w:r>
            <w:r w:rsidRPr="005E2D7F">
              <w:rPr>
                <w:rFonts w:cs="Calibri"/>
                <w:color w:val="000000"/>
                <w:sz w:val="20"/>
                <w:szCs w:val="20"/>
                <w:lang w:eastAsia="en-GB"/>
              </w:rPr>
              <w:t>ystm</w:t>
            </w:r>
            <w:r>
              <w:rPr>
                <w:rFonts w:cs="Calibri"/>
                <w:color w:val="000000"/>
                <w:sz w:val="20"/>
                <w:szCs w:val="20"/>
                <w:lang w:eastAsia="en-GB"/>
              </w:rPr>
              <w:t>O</w:t>
            </w:r>
            <w:r w:rsidRPr="005E2D7F">
              <w:rPr>
                <w:rFonts w:cs="Calibri"/>
                <w:color w:val="000000"/>
                <w:sz w:val="20"/>
                <w:szCs w:val="20"/>
                <w:lang w:eastAsia="en-GB"/>
              </w:rPr>
              <w:t>ne</w:t>
            </w:r>
          </w:p>
          <w:p w14:paraId="7FDE62F4" w14:textId="2A4F2DD0" w:rsidR="005E2D7F" w:rsidRPr="005E2D7F" w:rsidRDefault="005E2D7F" w:rsidP="005E2D7F">
            <w:pPr>
              <w:pStyle w:val="ListParagraph"/>
              <w:spacing w:line="240" w:lineRule="auto"/>
              <w:ind w:left="360"/>
              <w:rPr>
                <w:rFonts w:cs="Calibri"/>
                <w:color w:val="000000"/>
                <w:sz w:val="20"/>
                <w:szCs w:val="20"/>
                <w:lang w:eastAsia="en-GB"/>
              </w:rPr>
            </w:pPr>
            <w:r w:rsidRPr="005E2D7F">
              <w:rPr>
                <w:rFonts w:cs="Calibri"/>
                <w:color w:val="000000"/>
                <w:sz w:val="20"/>
                <w:szCs w:val="20"/>
                <w:lang w:eastAsia="en-GB"/>
              </w:rPr>
              <w:t>2.</w:t>
            </w:r>
            <w:r w:rsidR="00957BD0">
              <w:rPr>
                <w:rFonts w:cs="Calibri"/>
                <w:color w:val="000000"/>
                <w:sz w:val="20"/>
                <w:szCs w:val="20"/>
                <w:lang w:eastAsia="en-GB"/>
              </w:rPr>
              <w:t xml:space="preserve"> A member of the PSS team access patient SystmOne record to undertake/comp</w:t>
            </w:r>
            <w:r w:rsidR="00DF57DC">
              <w:rPr>
                <w:rFonts w:cs="Calibri"/>
                <w:color w:val="000000"/>
                <w:sz w:val="20"/>
                <w:szCs w:val="20"/>
                <w:lang w:eastAsia="en-GB"/>
              </w:rPr>
              <w:t>lete the medication related work</w:t>
            </w:r>
          </w:p>
          <w:p w14:paraId="0B10205F" w14:textId="50D26C7F" w:rsidR="005E2D7F" w:rsidRPr="005E2D7F" w:rsidRDefault="005E2D7F" w:rsidP="00957BD0">
            <w:pPr>
              <w:pStyle w:val="ListParagraph"/>
              <w:spacing w:line="240" w:lineRule="auto"/>
              <w:ind w:left="360"/>
              <w:rPr>
                <w:rFonts w:cs="Calibri"/>
                <w:color w:val="000000"/>
                <w:sz w:val="20"/>
                <w:szCs w:val="20"/>
                <w:lang w:eastAsia="en-GB"/>
              </w:rPr>
            </w:pPr>
            <w:r w:rsidRPr="005E2D7F">
              <w:rPr>
                <w:rFonts w:cs="Calibri"/>
                <w:color w:val="000000"/>
                <w:sz w:val="20"/>
                <w:szCs w:val="20"/>
                <w:lang w:eastAsia="en-GB"/>
              </w:rPr>
              <w:lastRenderedPageBreak/>
              <w:t>3.</w:t>
            </w:r>
            <w:r w:rsidR="008F1AAF">
              <w:rPr>
                <w:rFonts w:cs="Calibri"/>
                <w:color w:val="000000"/>
                <w:sz w:val="20"/>
                <w:szCs w:val="20"/>
                <w:lang w:eastAsia="en-GB"/>
              </w:rPr>
              <w:t xml:space="preserve"> </w:t>
            </w:r>
            <w:r w:rsidR="00957BD0">
              <w:rPr>
                <w:rFonts w:cs="Calibri"/>
                <w:color w:val="000000"/>
                <w:sz w:val="20"/>
                <w:szCs w:val="20"/>
                <w:lang w:eastAsia="en-GB"/>
              </w:rPr>
              <w:t xml:space="preserve">The </w:t>
            </w:r>
            <w:r w:rsidRPr="005E2D7F">
              <w:rPr>
                <w:rFonts w:cs="Calibri"/>
                <w:color w:val="000000"/>
                <w:sz w:val="20"/>
                <w:szCs w:val="20"/>
                <w:lang w:eastAsia="en-GB"/>
              </w:rPr>
              <w:t>Patient may</w:t>
            </w:r>
            <w:r w:rsidR="00957BD0">
              <w:rPr>
                <w:rFonts w:cs="Calibri"/>
                <w:color w:val="000000"/>
                <w:sz w:val="20"/>
                <w:szCs w:val="20"/>
                <w:lang w:eastAsia="en-GB"/>
              </w:rPr>
              <w:t xml:space="preserve"> receive a telephone contact from a member of the PSS team</w:t>
            </w:r>
            <w:r w:rsidR="00DF57DC">
              <w:rPr>
                <w:rFonts w:cs="Calibri"/>
                <w:color w:val="000000"/>
                <w:sz w:val="20"/>
                <w:szCs w:val="20"/>
                <w:lang w:eastAsia="en-GB"/>
              </w:rPr>
              <w:t>, a prescription may be issued, patient records updated with information from third parties (e.g. acute hospital discharge information)</w:t>
            </w:r>
            <w:r w:rsidRPr="005E2D7F">
              <w:rPr>
                <w:rFonts w:cs="Calibri"/>
                <w:color w:val="000000"/>
                <w:sz w:val="20"/>
                <w:szCs w:val="20"/>
                <w:lang w:eastAsia="en-GB"/>
              </w:rPr>
              <w:t xml:space="preserve"> </w:t>
            </w:r>
            <w:r w:rsidR="00957BD0">
              <w:rPr>
                <w:rFonts w:cs="Calibri"/>
                <w:color w:val="000000"/>
                <w:sz w:val="20"/>
                <w:szCs w:val="20"/>
                <w:lang w:eastAsia="en-GB"/>
              </w:rPr>
              <w:t xml:space="preserve"> The Patient may be booked into a specialist clinic with a member of the PSS team</w:t>
            </w:r>
          </w:p>
          <w:p w14:paraId="04B69D41" w14:textId="33992B9D" w:rsidR="005E2D7F" w:rsidRPr="005E2D7F" w:rsidRDefault="005E2D7F" w:rsidP="005E2D7F">
            <w:pPr>
              <w:pStyle w:val="ListParagraph"/>
              <w:spacing w:line="240" w:lineRule="auto"/>
              <w:ind w:left="360"/>
              <w:rPr>
                <w:rFonts w:cs="Calibri"/>
                <w:color w:val="000000"/>
                <w:sz w:val="20"/>
                <w:szCs w:val="20"/>
                <w:lang w:eastAsia="en-GB"/>
              </w:rPr>
            </w:pPr>
            <w:r w:rsidRPr="005E2D7F">
              <w:rPr>
                <w:rFonts w:cs="Calibri"/>
                <w:color w:val="000000"/>
                <w:sz w:val="20"/>
                <w:szCs w:val="20"/>
                <w:lang w:eastAsia="en-GB"/>
              </w:rPr>
              <w:t xml:space="preserve">5. </w:t>
            </w:r>
            <w:r w:rsidR="00DF57DC">
              <w:rPr>
                <w:rFonts w:cs="Calibri"/>
                <w:color w:val="000000"/>
                <w:sz w:val="20"/>
                <w:szCs w:val="20"/>
                <w:lang w:eastAsia="en-GB"/>
              </w:rPr>
              <w:t xml:space="preserve">The PSS team will attend monthly meetings where patient information may be shared for the purposes of operational and professional development </w:t>
            </w:r>
          </w:p>
          <w:p w14:paraId="6CBB77B0" w14:textId="09C3F044" w:rsidR="005E2D7F" w:rsidRPr="005E2D7F" w:rsidRDefault="005E2D7F" w:rsidP="005E2D7F">
            <w:pPr>
              <w:pStyle w:val="ListParagraph"/>
              <w:spacing w:line="240" w:lineRule="auto"/>
              <w:ind w:left="360"/>
              <w:rPr>
                <w:rFonts w:cs="Calibri"/>
                <w:color w:val="000000"/>
                <w:sz w:val="20"/>
                <w:szCs w:val="20"/>
                <w:lang w:eastAsia="en-GB"/>
              </w:rPr>
            </w:pPr>
            <w:r w:rsidRPr="005E2D7F">
              <w:rPr>
                <w:rFonts w:cs="Calibri"/>
                <w:color w:val="000000"/>
                <w:sz w:val="20"/>
                <w:szCs w:val="20"/>
                <w:lang w:eastAsia="en-GB"/>
              </w:rPr>
              <w:t xml:space="preserve">6. </w:t>
            </w:r>
            <w:r w:rsidR="00957BD0">
              <w:rPr>
                <w:rFonts w:cs="Calibri"/>
                <w:color w:val="000000"/>
                <w:sz w:val="20"/>
                <w:szCs w:val="20"/>
                <w:lang w:eastAsia="en-GB"/>
              </w:rPr>
              <w:t>The PSS team will undertake monthly audits of prescribing activity using searche</w:t>
            </w:r>
            <w:r w:rsidR="003360E4">
              <w:rPr>
                <w:rFonts w:cs="Calibri"/>
                <w:color w:val="000000"/>
                <w:sz w:val="20"/>
                <w:szCs w:val="20"/>
                <w:lang w:eastAsia="en-GB"/>
              </w:rPr>
              <w:t>s</w:t>
            </w:r>
            <w:r w:rsidR="00957BD0">
              <w:rPr>
                <w:rFonts w:cs="Calibri"/>
                <w:color w:val="000000"/>
                <w:sz w:val="20"/>
                <w:szCs w:val="20"/>
                <w:lang w:eastAsia="en-GB"/>
              </w:rPr>
              <w:t xml:space="preserve"> provided by the Federation. </w:t>
            </w:r>
            <w:r w:rsidR="008F1AAF">
              <w:rPr>
                <w:rFonts w:cs="Calibri"/>
                <w:color w:val="000000"/>
                <w:sz w:val="20"/>
                <w:szCs w:val="20"/>
                <w:lang w:eastAsia="en-GB"/>
              </w:rPr>
              <w:t xml:space="preserve"> will r</w:t>
            </w:r>
            <w:r w:rsidRPr="005E2D7F">
              <w:rPr>
                <w:rFonts w:cs="Calibri"/>
                <w:color w:val="000000"/>
                <w:sz w:val="20"/>
                <w:szCs w:val="20"/>
                <w:lang w:eastAsia="en-GB"/>
              </w:rPr>
              <w:t>un initial baseline and monthly reporting of practice activity using a search provided by the Fed</w:t>
            </w:r>
          </w:p>
          <w:p w14:paraId="1E4FCB0E" w14:textId="3DFE7AF5" w:rsidR="00E117CC" w:rsidRDefault="005E2D7F" w:rsidP="005E2D7F">
            <w:pPr>
              <w:pStyle w:val="ListParagraph"/>
              <w:spacing w:line="240" w:lineRule="auto"/>
              <w:ind w:left="360"/>
              <w:rPr>
                <w:rFonts w:cs="Calibri"/>
                <w:color w:val="000000"/>
                <w:sz w:val="20"/>
                <w:szCs w:val="20"/>
                <w:lang w:eastAsia="en-GB"/>
              </w:rPr>
            </w:pPr>
            <w:r w:rsidRPr="005E2D7F">
              <w:rPr>
                <w:rFonts w:cs="Calibri"/>
                <w:color w:val="000000"/>
                <w:sz w:val="20"/>
                <w:szCs w:val="20"/>
                <w:lang w:eastAsia="en-GB"/>
              </w:rPr>
              <w:t xml:space="preserve">7. Results </w:t>
            </w:r>
            <w:r w:rsidR="00957BD0">
              <w:rPr>
                <w:rFonts w:cs="Calibri"/>
                <w:color w:val="000000"/>
                <w:sz w:val="20"/>
                <w:szCs w:val="20"/>
                <w:lang w:eastAsia="en-GB"/>
              </w:rPr>
              <w:t>will be reviewed by the PSS team, shared with the GP practices, the Federation Information Governance Committee and the Primary Care Review meeting</w:t>
            </w:r>
          </w:p>
          <w:p w14:paraId="763234B4" w14:textId="77777777" w:rsidR="003360E4" w:rsidRPr="00E117CC" w:rsidRDefault="003360E4" w:rsidP="005E2D7F">
            <w:pPr>
              <w:pStyle w:val="ListParagraph"/>
              <w:spacing w:line="240" w:lineRule="auto"/>
              <w:ind w:left="360"/>
              <w:rPr>
                <w:rFonts w:cs="Calibri"/>
                <w:color w:val="000000"/>
                <w:sz w:val="20"/>
                <w:szCs w:val="20"/>
                <w:lang w:eastAsia="en-GB"/>
              </w:rPr>
            </w:pPr>
          </w:p>
          <w:p w14:paraId="709F0D1E" w14:textId="2F91CEDB" w:rsidR="00BF41AE" w:rsidRPr="009A6EAE" w:rsidRDefault="00BF41AE" w:rsidP="00BF41AE">
            <w:pPr>
              <w:pStyle w:val="ListParagraph"/>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20C72E70"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6B2A35" w:rsidRPr="0049256C" w14:paraId="13FCBE91" w14:textId="77777777" w:rsidTr="00B83221">
        <w:trPr>
          <w:trHeight w:val="88"/>
        </w:trPr>
        <w:tc>
          <w:tcPr>
            <w:tcW w:w="1427" w:type="pct"/>
            <w:gridSpan w:val="3"/>
            <w:tcBorders>
              <w:top w:val="nil"/>
              <w:left w:val="nil"/>
              <w:bottom w:val="single" w:sz="4" w:space="0" w:color="auto"/>
              <w:right w:val="nil"/>
            </w:tcBorders>
            <w:shd w:val="clear" w:color="000000" w:fill="FFFFFF"/>
            <w:vAlign w:val="center"/>
            <w:hideMark/>
          </w:tcPr>
          <w:p w14:paraId="729B2F22"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66C0DBB"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A57ABCE" w14:textId="77777777" w:rsidR="00F820AA" w:rsidRPr="009A6EAE" w:rsidRDefault="00F820AA" w:rsidP="00306245">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5066D4C1" w14:textId="77777777" w:rsidR="00F820AA" w:rsidRPr="0049256C" w:rsidRDefault="00F820AA" w:rsidP="00932538">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020ED9" w:rsidRPr="0049256C" w14:paraId="3DD2621E" w14:textId="77777777" w:rsidTr="00672A52">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62277AF8"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1FA56213"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D1D4621" w14:textId="39E4B8EB" w:rsidR="002B3515" w:rsidRDefault="00D43221" w:rsidP="002B3515">
            <w:pPr>
              <w:pStyle w:val="ListParagraph"/>
              <w:numPr>
                <w:ilvl w:val="0"/>
                <w:numId w:val="16"/>
              </w:numPr>
              <w:spacing w:line="240" w:lineRule="auto"/>
              <w:jc w:val="center"/>
              <w:rPr>
                <w:rFonts w:cs="Calibri"/>
                <w:color w:val="000000"/>
                <w:sz w:val="20"/>
                <w:szCs w:val="20"/>
                <w:lang w:eastAsia="en-GB"/>
              </w:rPr>
            </w:pPr>
            <w:r w:rsidRPr="002B3515">
              <w:rPr>
                <w:rFonts w:cs="Calibri"/>
                <w:color w:val="000000"/>
                <w:sz w:val="20"/>
                <w:szCs w:val="20"/>
                <w:lang w:eastAsia="en-GB"/>
              </w:rPr>
              <w:t>Suffolk GP Federation</w:t>
            </w:r>
            <w:r w:rsidR="00957BD0">
              <w:rPr>
                <w:rFonts w:cs="Calibri"/>
                <w:color w:val="000000"/>
                <w:sz w:val="20"/>
                <w:szCs w:val="20"/>
                <w:lang w:eastAsia="en-GB"/>
              </w:rPr>
              <w:t xml:space="preserve"> Pharmacy Support Service team </w:t>
            </w:r>
            <w:r w:rsidRPr="002B3515">
              <w:rPr>
                <w:rFonts w:cs="Calibri"/>
                <w:color w:val="000000"/>
                <w:sz w:val="20"/>
                <w:szCs w:val="20"/>
                <w:lang w:eastAsia="en-GB"/>
              </w:rPr>
              <w:t xml:space="preserve">will access the </w:t>
            </w:r>
            <w:r w:rsidR="00957BD0">
              <w:rPr>
                <w:rFonts w:cs="Calibri"/>
                <w:color w:val="000000"/>
                <w:sz w:val="20"/>
                <w:szCs w:val="20"/>
                <w:lang w:eastAsia="en-GB"/>
              </w:rPr>
              <w:t>patient ledger</w:t>
            </w:r>
            <w:r w:rsidRPr="002B3515">
              <w:rPr>
                <w:rFonts w:cs="Calibri"/>
                <w:color w:val="000000"/>
                <w:sz w:val="20"/>
                <w:szCs w:val="20"/>
                <w:lang w:eastAsia="en-GB"/>
              </w:rPr>
              <w:t xml:space="preserve"> provided by the GP practice which will include</w:t>
            </w:r>
            <w:r w:rsidR="00E71081" w:rsidRPr="002B3515">
              <w:rPr>
                <w:rFonts w:cs="Calibri"/>
                <w:color w:val="000000"/>
                <w:sz w:val="20"/>
                <w:szCs w:val="20"/>
                <w:lang w:eastAsia="en-GB"/>
              </w:rPr>
              <w:t xml:space="preserve"> </w:t>
            </w:r>
            <w:r w:rsidR="002B3515" w:rsidRPr="002B3515">
              <w:rPr>
                <w:rFonts w:cs="Calibri"/>
                <w:color w:val="000000"/>
                <w:sz w:val="20"/>
                <w:szCs w:val="20"/>
                <w:lang w:eastAsia="en-GB"/>
              </w:rPr>
              <w:t>direct identifiers such as patient name and NHS Number</w:t>
            </w:r>
          </w:p>
          <w:p w14:paraId="024BDB94" w14:textId="1696EDDC" w:rsidR="00E76214" w:rsidRPr="009A4F68" w:rsidRDefault="002B3515" w:rsidP="009A4F68">
            <w:pPr>
              <w:pStyle w:val="ListParagraph"/>
              <w:numPr>
                <w:ilvl w:val="0"/>
                <w:numId w:val="16"/>
              </w:numPr>
              <w:spacing w:line="240" w:lineRule="auto"/>
              <w:jc w:val="center"/>
              <w:rPr>
                <w:rFonts w:cs="Calibri"/>
                <w:color w:val="000000"/>
                <w:sz w:val="20"/>
                <w:szCs w:val="20"/>
                <w:lang w:eastAsia="en-GB"/>
              </w:rPr>
            </w:pPr>
            <w:r w:rsidRPr="002B3515">
              <w:rPr>
                <w:rFonts w:cs="Calibri"/>
                <w:color w:val="000000"/>
                <w:sz w:val="20"/>
                <w:szCs w:val="20"/>
                <w:lang w:eastAsia="en-GB"/>
              </w:rPr>
              <w:t xml:space="preserve">From there, the </w:t>
            </w:r>
            <w:r w:rsidR="00957BD0">
              <w:rPr>
                <w:rFonts w:cs="Calibri"/>
                <w:color w:val="000000"/>
                <w:sz w:val="20"/>
                <w:szCs w:val="20"/>
                <w:lang w:eastAsia="en-GB"/>
              </w:rPr>
              <w:t xml:space="preserve">PSS team </w:t>
            </w:r>
            <w:r>
              <w:rPr>
                <w:rFonts w:cs="Calibri"/>
                <w:color w:val="000000"/>
                <w:sz w:val="20"/>
                <w:szCs w:val="20"/>
                <w:lang w:eastAsia="en-GB"/>
              </w:rPr>
              <w:t xml:space="preserve">are able to access the </w:t>
            </w:r>
            <w:r w:rsidR="00E76214">
              <w:rPr>
                <w:rFonts w:cs="Calibri"/>
                <w:color w:val="000000"/>
                <w:sz w:val="20"/>
                <w:szCs w:val="20"/>
                <w:lang w:eastAsia="en-GB"/>
              </w:rPr>
              <w:t>full medical records of the patients concerned</w:t>
            </w:r>
            <w:r w:rsidR="00CB3489">
              <w:rPr>
                <w:rStyle w:val="FootnoteReference"/>
                <w:rFonts w:cs="Calibri"/>
                <w:color w:val="000000"/>
                <w:sz w:val="20"/>
                <w:szCs w:val="20"/>
                <w:lang w:eastAsia="en-GB"/>
              </w:rPr>
              <w:footnoteReference w:id="1"/>
            </w:r>
          </w:p>
          <w:p w14:paraId="5787F3DA" w14:textId="77777777" w:rsidR="00E76214" w:rsidRPr="00A23420" w:rsidRDefault="00E76214" w:rsidP="00D43221">
            <w:pPr>
              <w:spacing w:line="240" w:lineRule="auto"/>
              <w:jc w:val="center"/>
              <w:rPr>
                <w:rFonts w:cs="Calibri"/>
                <w:color w:val="000000"/>
                <w:sz w:val="20"/>
                <w:szCs w:val="20"/>
                <w:lang w:eastAsia="en-GB"/>
              </w:rPr>
            </w:pPr>
          </w:p>
          <w:p w14:paraId="26B02E8C" w14:textId="3878DB5A" w:rsidR="00F820AA" w:rsidRPr="009A6EAE" w:rsidRDefault="00F820AA" w:rsidP="00672A52">
            <w:pPr>
              <w:spacing w:line="240" w:lineRule="auto"/>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4FF67AD0"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6B2A35" w:rsidRPr="0049256C" w14:paraId="116AC2DB" w14:textId="77777777" w:rsidTr="00B83221">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4B0AE999"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7CB05E1B"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1517359C" w14:textId="77777777" w:rsidR="00F820AA" w:rsidRPr="00162A47" w:rsidRDefault="00F820AA" w:rsidP="00932538">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367068A1" w14:textId="77777777" w:rsidR="00F820AA" w:rsidRPr="0049256C" w:rsidRDefault="00F820AA" w:rsidP="00932538">
            <w:pPr>
              <w:spacing w:line="240" w:lineRule="auto"/>
              <w:jc w:val="center"/>
              <w:rPr>
                <w:rFonts w:cs="Calibri"/>
                <w:color w:val="000000"/>
                <w:szCs w:val="22"/>
                <w:lang w:eastAsia="en-GB"/>
              </w:rPr>
            </w:pPr>
            <w:r w:rsidRPr="0049256C">
              <w:rPr>
                <w:rFonts w:cs="Calibri"/>
                <w:color w:val="000000"/>
                <w:szCs w:val="22"/>
                <w:lang w:eastAsia="en-GB"/>
              </w:rPr>
              <w:t> </w:t>
            </w:r>
          </w:p>
        </w:tc>
      </w:tr>
      <w:tr w:rsidR="00020ED9" w:rsidRPr="0049256C" w14:paraId="47CE40FC" w14:textId="77777777" w:rsidTr="00B83221">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C20148" w14:textId="1CDC280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sidR="00CF757F">
              <w:rPr>
                <w:rFonts w:cs="Calibri"/>
                <w:color w:val="305496"/>
                <w:sz w:val="20"/>
                <w:szCs w:val="20"/>
                <w:lang w:eastAsia="en-GB"/>
              </w:rPr>
              <w:t xml:space="preserve">Secure </w:t>
            </w:r>
            <w:r w:rsidRPr="009A6EAE">
              <w:rPr>
                <w:rFonts w:cs="Calibri"/>
                <w:color w:val="305496"/>
                <w:sz w:val="20"/>
                <w:szCs w:val="20"/>
                <w:lang w:eastAsia="en-GB"/>
              </w:rPr>
              <w:t>Transfer Method 1</w:t>
            </w:r>
            <w:r w:rsidR="00D4670D">
              <w:rPr>
                <w:rFonts w:cs="Calibri"/>
                <w:color w:val="305496"/>
                <w:sz w:val="20"/>
                <w:szCs w:val="20"/>
                <w:lang w:eastAsia="en-GB"/>
              </w:rPr>
              <w:t xml:space="preserve"> (SystmOne)</w:t>
            </w:r>
          </w:p>
        </w:tc>
        <w:tc>
          <w:tcPr>
            <w:tcW w:w="101" w:type="pct"/>
            <w:tcBorders>
              <w:top w:val="nil"/>
              <w:left w:val="nil"/>
              <w:bottom w:val="nil"/>
              <w:right w:val="nil"/>
            </w:tcBorders>
            <w:shd w:val="clear" w:color="000000" w:fill="FFFFFF"/>
            <w:noWrap/>
            <w:vAlign w:val="center"/>
            <w:hideMark/>
          </w:tcPr>
          <w:p w14:paraId="78B80A0F"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66D8A9" w14:textId="6FE8D36B" w:rsidR="00F820AA" w:rsidRPr="000F0BBD" w:rsidRDefault="00E117CC" w:rsidP="00932538">
            <w:pPr>
              <w:spacing w:line="240" w:lineRule="auto"/>
              <w:jc w:val="center"/>
              <w:rPr>
                <w:rFonts w:cs="Calibri"/>
                <w:color w:val="000000"/>
                <w:sz w:val="20"/>
                <w:szCs w:val="20"/>
                <w:lang w:eastAsia="en-GB"/>
              </w:rPr>
            </w:pPr>
            <w:r>
              <w:rPr>
                <w:rFonts w:cs="Calibri"/>
                <w:color w:val="000000"/>
                <w:sz w:val="20"/>
                <w:szCs w:val="20"/>
                <w:lang w:eastAsia="en-GB"/>
              </w:rPr>
              <w:t xml:space="preserve">Clinical System </w:t>
            </w:r>
            <w:r w:rsidR="009A4F68">
              <w:rPr>
                <w:rFonts w:cs="Calibri"/>
                <w:color w:val="000000"/>
                <w:sz w:val="20"/>
                <w:szCs w:val="20"/>
                <w:lang w:eastAsia="en-GB"/>
              </w:rPr>
              <w:t>Access</w:t>
            </w:r>
            <w:r w:rsidR="00194B89">
              <w:rPr>
                <w:rFonts w:cs="Calibri"/>
                <w:color w:val="000000"/>
                <w:sz w:val="20"/>
                <w:szCs w:val="20"/>
                <w:lang w:eastAsia="en-GB"/>
              </w:rPr>
              <w:t xml:space="preserve"> </w:t>
            </w:r>
          </w:p>
        </w:tc>
        <w:tc>
          <w:tcPr>
            <w:tcW w:w="96" w:type="pct"/>
            <w:tcBorders>
              <w:top w:val="nil"/>
              <w:left w:val="nil"/>
              <w:bottom w:val="nil"/>
              <w:right w:val="nil"/>
            </w:tcBorders>
            <w:shd w:val="clear" w:color="000000" w:fill="FFFFFF"/>
            <w:vAlign w:val="center"/>
            <w:hideMark/>
          </w:tcPr>
          <w:p w14:paraId="4F92A4EF"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7E795B" w:rsidRPr="0049256C" w14:paraId="22A5F1EE"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9FED6C" w14:textId="359B7020"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sidR="00CF757F">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686414F5"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84FB34" w14:textId="7160B9A8" w:rsidR="00F820AA" w:rsidRPr="000F0BBD" w:rsidRDefault="00E117CC" w:rsidP="00932538">
            <w:pPr>
              <w:spacing w:line="240" w:lineRule="auto"/>
              <w:jc w:val="center"/>
              <w:rPr>
                <w:rFonts w:cs="Calibri"/>
                <w:color w:val="000000"/>
                <w:sz w:val="20"/>
                <w:szCs w:val="20"/>
                <w:lang w:eastAsia="en-GB"/>
              </w:rPr>
            </w:pPr>
            <w:r>
              <w:rPr>
                <w:rFonts w:cs="Calibri"/>
                <w:color w:val="000000"/>
                <w:sz w:val="20"/>
                <w:szCs w:val="20"/>
                <w:lang w:eastAsia="en-GB"/>
              </w:rPr>
              <w:t>NHS Mail</w:t>
            </w:r>
          </w:p>
        </w:tc>
      </w:tr>
      <w:tr w:rsidR="000A2D61" w:rsidRPr="0049256C" w14:paraId="5794EF2A"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7793B35E" w14:textId="0B59F33E" w:rsidR="000A2D61" w:rsidRPr="009A6EAE" w:rsidRDefault="000A2D61" w:rsidP="00932538">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785514A8" w14:textId="77777777" w:rsidR="000A2D61" w:rsidRPr="009A6EAE" w:rsidRDefault="000A2D61" w:rsidP="00932538">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66671" w14:textId="10D2AA07" w:rsidR="000A2D61" w:rsidRDefault="009A4F68" w:rsidP="00932538">
            <w:pPr>
              <w:spacing w:line="240" w:lineRule="auto"/>
              <w:jc w:val="center"/>
              <w:rPr>
                <w:rFonts w:cs="Calibri"/>
                <w:color w:val="000000"/>
                <w:sz w:val="20"/>
                <w:szCs w:val="20"/>
                <w:lang w:eastAsia="en-GB"/>
              </w:rPr>
            </w:pPr>
            <w:r>
              <w:rPr>
                <w:rFonts w:cs="Calibri"/>
                <w:color w:val="000000"/>
                <w:sz w:val="20"/>
                <w:szCs w:val="20"/>
                <w:lang w:eastAsia="en-GB"/>
              </w:rPr>
              <w:t>Telephone and in person meetings</w:t>
            </w:r>
          </w:p>
        </w:tc>
      </w:tr>
      <w:tr w:rsidR="00565D61" w:rsidRPr="0049256C" w14:paraId="06F04564" w14:textId="77777777" w:rsidTr="00B83221">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2F3C0AAC" w14:textId="77777777" w:rsidR="00565D61" w:rsidRPr="009A6EAE" w:rsidRDefault="00565D61" w:rsidP="00932538">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2D7226AD" w14:textId="77777777" w:rsidR="00565D61" w:rsidRPr="009A6EAE" w:rsidRDefault="00565D61" w:rsidP="00932538">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F428B8C" w14:textId="77777777" w:rsidR="00565D61" w:rsidRPr="000F0BBD" w:rsidRDefault="00565D61" w:rsidP="00932538">
            <w:pPr>
              <w:spacing w:line="240" w:lineRule="auto"/>
              <w:jc w:val="center"/>
              <w:rPr>
                <w:rFonts w:cs="Calibri"/>
                <w:color w:val="000000"/>
                <w:sz w:val="20"/>
                <w:szCs w:val="20"/>
                <w:lang w:eastAsia="en-GB"/>
              </w:rPr>
            </w:pPr>
          </w:p>
        </w:tc>
      </w:tr>
      <w:tr w:rsidR="00565D61" w:rsidRPr="0049256C" w14:paraId="194943C8"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2214F95C" w14:textId="11F67C94" w:rsidR="00565D61" w:rsidRPr="009A6EAE" w:rsidRDefault="00565D61" w:rsidP="00932538">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19AEFA98" w14:textId="77777777" w:rsidR="00565D61" w:rsidRPr="009A6EAE" w:rsidRDefault="00565D61" w:rsidP="00932538">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BEDC28" w14:textId="77777777" w:rsidR="00CB6572" w:rsidRDefault="00CB6572" w:rsidP="00932538">
            <w:pPr>
              <w:spacing w:line="240" w:lineRule="auto"/>
              <w:jc w:val="center"/>
              <w:rPr>
                <w:rFonts w:cs="Calibri"/>
                <w:color w:val="000000"/>
                <w:sz w:val="20"/>
                <w:szCs w:val="20"/>
                <w:lang w:eastAsia="en-GB"/>
              </w:rPr>
            </w:pPr>
          </w:p>
          <w:p w14:paraId="6125A8A6" w14:textId="08B348C8" w:rsidR="00BF41AE" w:rsidRDefault="009A4F68" w:rsidP="00BF41AE">
            <w:pPr>
              <w:spacing w:line="240" w:lineRule="auto"/>
              <w:jc w:val="center"/>
              <w:rPr>
                <w:rFonts w:cs="Calibri"/>
                <w:color w:val="000000"/>
                <w:sz w:val="20"/>
                <w:szCs w:val="20"/>
                <w:lang w:eastAsia="en-GB"/>
              </w:rPr>
            </w:pPr>
            <w:r>
              <w:rPr>
                <w:rFonts w:cs="Calibri"/>
                <w:color w:val="000000"/>
                <w:sz w:val="20"/>
                <w:szCs w:val="20"/>
                <w:lang w:eastAsia="en-GB"/>
              </w:rPr>
              <w:t>Related personal data will largely reside within the GP clinical system</w:t>
            </w:r>
          </w:p>
          <w:p w14:paraId="60FBDBD9" w14:textId="30D43B8D" w:rsidR="009A4F68" w:rsidRDefault="002664ED" w:rsidP="00BF41AE">
            <w:pPr>
              <w:spacing w:line="240" w:lineRule="auto"/>
              <w:jc w:val="center"/>
              <w:rPr>
                <w:rFonts w:cs="Calibri"/>
                <w:color w:val="000000"/>
                <w:sz w:val="20"/>
                <w:szCs w:val="20"/>
                <w:lang w:eastAsia="en-GB"/>
              </w:rPr>
            </w:pPr>
            <w:r>
              <w:rPr>
                <w:rFonts w:cs="Calibri"/>
                <w:color w:val="000000"/>
                <w:sz w:val="20"/>
                <w:szCs w:val="20"/>
                <w:lang w:eastAsia="en-GB"/>
              </w:rPr>
              <w:lastRenderedPageBreak/>
              <w:t>Some data will be retained in the form of NHS Net emails but should be destroyed in line with retention schedules</w:t>
            </w:r>
          </w:p>
          <w:p w14:paraId="68D04739" w14:textId="3A10CF76" w:rsidR="00CB6572" w:rsidRPr="000F0BBD" w:rsidRDefault="00CB6572" w:rsidP="00BC2371">
            <w:pPr>
              <w:spacing w:line="240" w:lineRule="auto"/>
              <w:jc w:val="center"/>
              <w:rPr>
                <w:rFonts w:cs="Calibri"/>
                <w:color w:val="000000"/>
                <w:sz w:val="20"/>
                <w:szCs w:val="20"/>
                <w:lang w:eastAsia="en-GB"/>
              </w:rPr>
            </w:pPr>
          </w:p>
        </w:tc>
      </w:tr>
      <w:tr w:rsidR="00CB69A8" w:rsidRPr="0049256C" w14:paraId="1B1F9862" w14:textId="77777777" w:rsidTr="00B83221">
        <w:trPr>
          <w:gridAfter w:val="7"/>
          <w:wAfter w:w="4861" w:type="pct"/>
          <w:trHeight w:val="503"/>
        </w:trPr>
        <w:tc>
          <w:tcPr>
            <w:tcW w:w="139" w:type="pct"/>
            <w:tcBorders>
              <w:top w:val="nil"/>
              <w:left w:val="nil"/>
              <w:bottom w:val="nil"/>
              <w:right w:val="nil"/>
            </w:tcBorders>
            <w:shd w:val="clear" w:color="000000" w:fill="FFFFFF"/>
            <w:vAlign w:val="center"/>
            <w:hideMark/>
          </w:tcPr>
          <w:p w14:paraId="0A943AE9" w14:textId="77777777" w:rsidR="007E795B" w:rsidRPr="007E795B" w:rsidRDefault="007E795B" w:rsidP="00932538">
            <w:pPr>
              <w:spacing w:line="240" w:lineRule="auto"/>
              <w:jc w:val="center"/>
              <w:rPr>
                <w:rFonts w:cs="Calibri"/>
                <w:color w:val="000000"/>
                <w:sz w:val="4"/>
                <w:szCs w:val="4"/>
                <w:lang w:eastAsia="en-GB"/>
              </w:rPr>
            </w:pPr>
          </w:p>
          <w:p w14:paraId="0D65F2C8" w14:textId="65E48376" w:rsidR="00CB69A8" w:rsidRPr="007E795B" w:rsidRDefault="00CB69A8" w:rsidP="00932538">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F677E2" w:rsidRPr="0049256C" w14:paraId="24F481DB" w14:textId="77777777" w:rsidTr="00B83221">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5AEED44C" w14:textId="017CFB1C" w:rsidR="00F677E2" w:rsidRPr="0049256C" w:rsidRDefault="00F677E2" w:rsidP="00932538">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7534FD6" w14:textId="77777777" w:rsidR="00F677E2" w:rsidRPr="0049256C" w:rsidRDefault="00F677E2" w:rsidP="00932538">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80CD8A" w14:textId="77777777" w:rsidR="00D962D2" w:rsidRPr="00D4670D" w:rsidRDefault="00D962D2" w:rsidP="00D962D2">
            <w:pPr>
              <w:spacing w:line="240" w:lineRule="auto"/>
              <w:rPr>
                <w:rFonts w:cs="Calibri"/>
                <w:color w:val="000000"/>
                <w:sz w:val="10"/>
                <w:szCs w:val="10"/>
                <w:lang w:eastAsia="en-GB"/>
              </w:rPr>
            </w:pPr>
          </w:p>
          <w:p w14:paraId="190B91D5" w14:textId="0DA1C9F3" w:rsidR="00672A52" w:rsidRDefault="00672A52" w:rsidP="00672A52">
            <w:pPr>
              <w:spacing w:line="240" w:lineRule="auto"/>
              <w:jc w:val="center"/>
              <w:rPr>
                <w:rFonts w:cs="Calibri"/>
                <w:color w:val="000000"/>
                <w:sz w:val="20"/>
                <w:szCs w:val="20"/>
                <w:lang w:eastAsia="en-GB"/>
              </w:rPr>
            </w:pPr>
            <w:r>
              <w:rPr>
                <w:rFonts w:cs="Calibri"/>
                <w:color w:val="000000"/>
                <w:sz w:val="20"/>
                <w:szCs w:val="20"/>
                <w:lang w:eastAsia="en-GB"/>
              </w:rPr>
              <w:t xml:space="preserve">Each party is responsible for </w:t>
            </w:r>
            <w:r w:rsidR="000C5CF4">
              <w:rPr>
                <w:rFonts w:cs="Calibri"/>
                <w:color w:val="000000"/>
                <w:sz w:val="20"/>
                <w:szCs w:val="20"/>
                <w:lang w:eastAsia="en-GB"/>
              </w:rPr>
              <w:t xml:space="preserve">appropriate </w:t>
            </w:r>
            <w:r>
              <w:rPr>
                <w:rFonts w:cs="Calibri"/>
                <w:color w:val="000000"/>
                <w:sz w:val="20"/>
                <w:szCs w:val="20"/>
                <w:lang w:eastAsia="en-GB"/>
              </w:rPr>
              <w:t>retention of disclosed data</w:t>
            </w:r>
            <w:r w:rsidR="000C5CF4">
              <w:rPr>
                <w:rFonts w:cs="Calibri"/>
                <w:color w:val="000000"/>
                <w:sz w:val="20"/>
                <w:szCs w:val="20"/>
                <w:lang w:eastAsia="en-GB"/>
              </w:rPr>
              <w:t xml:space="preserve"> in line with NHS Records Management Code of Practice</w:t>
            </w:r>
          </w:p>
          <w:p w14:paraId="722A919E" w14:textId="745E6397" w:rsidR="00D4670D" w:rsidRPr="00D4670D" w:rsidRDefault="00D4670D" w:rsidP="00D4670D">
            <w:pPr>
              <w:spacing w:line="240" w:lineRule="auto"/>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6621422C" w14:textId="77777777" w:rsidR="00F677E2" w:rsidRPr="0049256C" w:rsidRDefault="00F677E2" w:rsidP="00932538">
            <w:pPr>
              <w:spacing w:line="240" w:lineRule="auto"/>
              <w:jc w:val="center"/>
              <w:rPr>
                <w:rFonts w:cs="Calibri"/>
                <w:color w:val="000000"/>
                <w:sz w:val="24"/>
                <w:lang w:eastAsia="en-GB"/>
              </w:rPr>
            </w:pPr>
          </w:p>
        </w:tc>
      </w:tr>
      <w:tr w:rsidR="00F677E2" w:rsidRPr="0049256C" w14:paraId="72D92164" w14:textId="77777777" w:rsidTr="00B83221">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6F08C909" w14:textId="77777777" w:rsidR="00F677E2" w:rsidRPr="0049256C" w:rsidRDefault="00F677E2" w:rsidP="00932538">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3F155CD3" w14:textId="77777777" w:rsidR="00F677E2" w:rsidRPr="0049256C" w:rsidRDefault="00F677E2" w:rsidP="00932538">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3196DC8D" w14:textId="77777777" w:rsidR="00F677E2" w:rsidRDefault="00F677E2" w:rsidP="006D13C7">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0397D528" w14:textId="77777777" w:rsidR="00F677E2" w:rsidRPr="0049256C" w:rsidRDefault="00F677E2" w:rsidP="00932538">
            <w:pPr>
              <w:spacing w:line="240" w:lineRule="auto"/>
              <w:jc w:val="center"/>
              <w:rPr>
                <w:rFonts w:cs="Calibri"/>
                <w:color w:val="000000"/>
                <w:sz w:val="24"/>
                <w:lang w:eastAsia="en-GB"/>
              </w:rPr>
            </w:pPr>
          </w:p>
        </w:tc>
      </w:tr>
      <w:tr w:rsidR="00020ED9" w:rsidRPr="0049256C" w14:paraId="21B23FE4" w14:textId="77777777" w:rsidTr="00B83221">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25A425" w14:textId="5B8B69A2" w:rsidR="00F820AA" w:rsidRPr="009A6EAE" w:rsidRDefault="00F820AA" w:rsidP="00932538">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sidR="000F0BBD">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0D16F04B" w14:textId="77777777" w:rsidR="00F820AA" w:rsidRPr="009A6EAE" w:rsidRDefault="00F820AA" w:rsidP="00932538">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0EEC0C" w14:textId="77777777" w:rsidR="006D13C7" w:rsidRPr="00D4670D" w:rsidRDefault="006D13C7" w:rsidP="006D13C7">
            <w:pPr>
              <w:spacing w:line="240" w:lineRule="auto"/>
              <w:rPr>
                <w:rFonts w:cs="Calibri"/>
                <w:color w:val="000000"/>
                <w:sz w:val="10"/>
                <w:szCs w:val="10"/>
                <w:lang w:eastAsia="en-GB"/>
              </w:rPr>
            </w:pPr>
          </w:p>
          <w:p w14:paraId="10A607AE" w14:textId="3A03CCCB" w:rsidR="009F7B2F" w:rsidRDefault="00672A52" w:rsidP="00194B89">
            <w:pPr>
              <w:spacing w:line="240" w:lineRule="auto"/>
              <w:jc w:val="center"/>
              <w:rPr>
                <w:rFonts w:cs="Calibri"/>
                <w:color w:val="000000"/>
                <w:sz w:val="20"/>
                <w:szCs w:val="20"/>
                <w:lang w:eastAsia="en-GB"/>
              </w:rPr>
            </w:pPr>
            <w:r>
              <w:rPr>
                <w:rFonts w:cs="Calibri"/>
                <w:color w:val="000000"/>
                <w:sz w:val="20"/>
                <w:szCs w:val="20"/>
                <w:lang w:eastAsia="en-GB"/>
              </w:rPr>
              <w:t>The process will involve</w:t>
            </w:r>
            <w:r w:rsidR="009B040F">
              <w:rPr>
                <w:rFonts w:cs="Calibri"/>
                <w:color w:val="000000"/>
                <w:sz w:val="20"/>
                <w:szCs w:val="20"/>
                <w:lang w:eastAsia="en-GB"/>
              </w:rPr>
              <w:t xml:space="preserve"> the parties acting as </w:t>
            </w:r>
            <w:r w:rsidR="00096592">
              <w:rPr>
                <w:rFonts w:cs="Calibri"/>
                <w:color w:val="000000"/>
                <w:sz w:val="20"/>
                <w:szCs w:val="20"/>
                <w:lang w:eastAsia="en-GB"/>
              </w:rPr>
              <w:t xml:space="preserve">Joint </w:t>
            </w:r>
            <w:r w:rsidR="009B040F">
              <w:rPr>
                <w:rFonts w:cs="Calibri"/>
                <w:color w:val="000000"/>
                <w:sz w:val="20"/>
                <w:szCs w:val="20"/>
                <w:lang w:eastAsia="en-GB"/>
              </w:rPr>
              <w:t>Controllers</w:t>
            </w:r>
            <w:r>
              <w:rPr>
                <w:rFonts w:cs="Calibri"/>
                <w:color w:val="000000"/>
                <w:sz w:val="20"/>
                <w:szCs w:val="20"/>
                <w:lang w:eastAsia="en-GB"/>
              </w:rPr>
              <w:t>.</w:t>
            </w:r>
          </w:p>
          <w:p w14:paraId="54F2C1AC" w14:textId="161B1A1C" w:rsidR="00F820AA" w:rsidRPr="009A6EAE" w:rsidRDefault="003B5DE8" w:rsidP="003B5DE8">
            <w:pPr>
              <w:shd w:val="clear" w:color="auto" w:fill="D9E2F3" w:themeFill="accent1" w:themeFillTint="33"/>
              <w:spacing w:before="240" w:after="240"/>
              <w:jc w:val="center"/>
              <w:textAlignment w:val="baseline"/>
              <w:rPr>
                <w:rFonts w:cs="Calibri"/>
                <w:color w:val="000000"/>
                <w:sz w:val="20"/>
                <w:szCs w:val="20"/>
                <w:lang w:eastAsia="en-GB"/>
              </w:rPr>
            </w:pPr>
            <w:r w:rsidRPr="003B5DE8">
              <w:rPr>
                <w:rFonts w:cs="Calibri"/>
                <w:color w:val="000000"/>
                <w:sz w:val="20"/>
                <w:szCs w:val="20"/>
                <w:lang w:eastAsia="en-GB"/>
              </w:rPr>
              <w:t>"for a single processing operation, a number of parties may jointly determine the purposes</w:t>
            </w:r>
            <w:r>
              <w:rPr>
                <w:rFonts w:cs="Calibri"/>
                <w:color w:val="000000"/>
                <w:sz w:val="20"/>
                <w:szCs w:val="20"/>
                <w:lang w:eastAsia="en-GB"/>
              </w:rPr>
              <w:t xml:space="preserve"> </w:t>
            </w:r>
            <w:r w:rsidRPr="003B5DE8">
              <w:rPr>
                <w:rFonts w:cs="Calibri"/>
                <w:color w:val="000000"/>
                <w:sz w:val="20"/>
                <w:szCs w:val="20"/>
                <w:lang w:eastAsia="en-GB"/>
              </w:rPr>
              <w:t>and means of processing to be carried out" and therefore the parties would be "jointly"</w:t>
            </w:r>
            <w:r>
              <w:rPr>
                <w:rFonts w:cs="Calibri"/>
                <w:color w:val="000000"/>
                <w:sz w:val="20"/>
                <w:szCs w:val="20"/>
                <w:lang w:eastAsia="en-GB"/>
              </w:rPr>
              <w:t xml:space="preserve"> </w:t>
            </w:r>
            <w:r w:rsidRPr="003B5DE8">
              <w:rPr>
                <w:rFonts w:cs="Calibri"/>
                <w:color w:val="000000"/>
                <w:sz w:val="20"/>
                <w:szCs w:val="20"/>
                <w:lang w:eastAsia="en-GB"/>
              </w:rPr>
              <w:t>acting as controllers; where the determination is exercised by acting together.</w:t>
            </w:r>
            <w:r w:rsidR="009B040F">
              <w:rPr>
                <w:rFonts w:cs="Calibri"/>
                <w:color w:val="000000"/>
                <w:sz w:val="20"/>
                <w:szCs w:val="20"/>
                <w:lang w:eastAsia="en-GB"/>
              </w:rPr>
              <w:t>” ICO Guidance</w:t>
            </w:r>
          </w:p>
        </w:tc>
        <w:tc>
          <w:tcPr>
            <w:tcW w:w="96" w:type="pct"/>
            <w:tcBorders>
              <w:top w:val="nil"/>
              <w:left w:val="nil"/>
              <w:bottom w:val="nil"/>
              <w:right w:val="nil"/>
            </w:tcBorders>
            <w:shd w:val="clear" w:color="000000" w:fill="FFFFFF"/>
            <w:vAlign w:val="center"/>
            <w:hideMark/>
          </w:tcPr>
          <w:p w14:paraId="7FFCD632"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020ED9" w:rsidRPr="0049256C" w14:paraId="319EE2D6" w14:textId="77777777" w:rsidTr="003761D3">
        <w:trPr>
          <w:trHeight w:val="361"/>
        </w:trPr>
        <w:tc>
          <w:tcPr>
            <w:tcW w:w="1427" w:type="pct"/>
            <w:gridSpan w:val="3"/>
            <w:tcBorders>
              <w:top w:val="single" w:sz="4" w:space="0" w:color="auto"/>
              <w:bottom w:val="single" w:sz="4" w:space="0" w:color="auto"/>
            </w:tcBorders>
            <w:shd w:val="clear" w:color="000000" w:fill="FFFFFF"/>
            <w:noWrap/>
            <w:vAlign w:val="center"/>
            <w:hideMark/>
          </w:tcPr>
          <w:p w14:paraId="4E49CDE4" w14:textId="77777777" w:rsidR="00F820AA" w:rsidRPr="009A6EAE" w:rsidRDefault="00F820AA" w:rsidP="00932538">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006C8949" w14:textId="77777777" w:rsidR="00F820AA" w:rsidRPr="009A6EAE" w:rsidRDefault="00F820AA" w:rsidP="00932538">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5EDB66BF" w14:textId="77777777" w:rsidR="00F820AA" w:rsidRPr="009A6EAE" w:rsidRDefault="00F820AA" w:rsidP="00932538">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2019431"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1B4257" w:rsidRPr="009A6EAE" w14:paraId="29C807AE" w14:textId="77777777" w:rsidTr="003761D3">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105C1" w14:textId="77777777" w:rsidR="001B4257" w:rsidRDefault="001B4257" w:rsidP="00571B14">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7738D86F" w14:textId="10817F65" w:rsidR="001B4257" w:rsidRDefault="001B4257" w:rsidP="00571B14">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D417D4" w14:textId="77777777" w:rsidR="001B4257" w:rsidRPr="0049256C" w:rsidRDefault="001B4257" w:rsidP="00571B1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BAA529" w14:textId="77777777" w:rsidR="001B4257" w:rsidRPr="001B4257" w:rsidRDefault="001B4257" w:rsidP="006B2A35">
            <w:pPr>
              <w:spacing w:line="240" w:lineRule="auto"/>
              <w:jc w:val="center"/>
              <w:rPr>
                <w:rFonts w:cs="Calibri"/>
                <w:color w:val="000000"/>
                <w:sz w:val="10"/>
                <w:szCs w:val="10"/>
                <w:lang w:eastAsia="en-GB"/>
              </w:rPr>
            </w:pPr>
          </w:p>
          <w:p w14:paraId="2D8A1980" w14:textId="1D8EDF2D" w:rsidR="001B4257" w:rsidRDefault="001B4257" w:rsidP="006B2A35">
            <w:pPr>
              <w:spacing w:line="240" w:lineRule="auto"/>
              <w:jc w:val="center"/>
              <w:rPr>
                <w:rFonts w:cs="Calibri"/>
                <w:color w:val="000000"/>
                <w:sz w:val="20"/>
                <w:szCs w:val="20"/>
                <w:lang w:eastAsia="en-GB"/>
              </w:rPr>
            </w:pPr>
            <w:r w:rsidRPr="001B4257">
              <w:rPr>
                <w:rFonts w:cs="Calibri"/>
                <w:color w:val="000000"/>
                <w:sz w:val="20"/>
                <w:szCs w:val="20"/>
                <w:lang w:eastAsia="en-GB"/>
              </w:rPr>
              <w:t>In order to satisfy the common law duty of confidentiality and the data protection legislation “right to be informed” there is a requirement to ensure that patients are provided with sufficient information.</w:t>
            </w:r>
            <w:r w:rsidR="009F7B2F">
              <w:rPr>
                <w:rFonts w:cs="Calibri"/>
                <w:color w:val="000000"/>
                <w:sz w:val="20"/>
                <w:szCs w:val="20"/>
                <w:lang w:eastAsia="en-GB"/>
              </w:rPr>
              <w:t xml:space="preserve"> Individuals must “reasonably expect” disclosures of their confidential information.</w:t>
            </w:r>
          </w:p>
          <w:p w14:paraId="1003CFFE" w14:textId="1809D94D" w:rsidR="001B4257" w:rsidRPr="001B4257" w:rsidRDefault="001B4257" w:rsidP="006B2A35">
            <w:pPr>
              <w:spacing w:line="240" w:lineRule="auto"/>
              <w:jc w:val="center"/>
              <w:rPr>
                <w:sz w:val="20"/>
                <w:szCs w:val="20"/>
              </w:rPr>
            </w:pPr>
          </w:p>
          <w:p w14:paraId="101F79F4" w14:textId="5D18C9DE" w:rsidR="001B4257" w:rsidRDefault="001B4257" w:rsidP="006B2A35">
            <w:pPr>
              <w:spacing w:line="240" w:lineRule="auto"/>
              <w:jc w:val="center"/>
              <w:rPr>
                <w:sz w:val="20"/>
                <w:szCs w:val="20"/>
              </w:rPr>
            </w:pPr>
            <w:r w:rsidRPr="001B4257">
              <w:rPr>
                <w:sz w:val="20"/>
                <w:szCs w:val="20"/>
              </w:rPr>
              <w:t xml:space="preserve">The </w:t>
            </w:r>
            <w:r w:rsidR="003761D3">
              <w:rPr>
                <w:sz w:val="20"/>
                <w:szCs w:val="20"/>
              </w:rPr>
              <w:t xml:space="preserve">parties must each include information about </w:t>
            </w:r>
            <w:r w:rsidR="00EC28E4">
              <w:rPr>
                <w:sz w:val="20"/>
                <w:szCs w:val="20"/>
              </w:rPr>
              <w:t>the Joint Controllership</w:t>
            </w:r>
            <w:r w:rsidR="003761D3">
              <w:rPr>
                <w:sz w:val="20"/>
                <w:szCs w:val="20"/>
              </w:rPr>
              <w:t xml:space="preserve"> in their</w:t>
            </w:r>
            <w:r w:rsidRPr="001B4257">
              <w:rPr>
                <w:sz w:val="20"/>
                <w:szCs w:val="20"/>
              </w:rPr>
              <w:t xml:space="preserve"> privacy notices and displayed in situ at premises that provide information about their rights – including their right to object.</w:t>
            </w:r>
          </w:p>
          <w:p w14:paraId="2B7FBE62" w14:textId="5EB77703" w:rsidR="003761D3" w:rsidRDefault="003761D3" w:rsidP="006B2A35">
            <w:pPr>
              <w:spacing w:line="240" w:lineRule="auto"/>
              <w:jc w:val="center"/>
              <w:rPr>
                <w:sz w:val="20"/>
                <w:szCs w:val="20"/>
              </w:rPr>
            </w:pPr>
          </w:p>
          <w:p w14:paraId="3F5D9DE2" w14:textId="30D8B0F1" w:rsidR="003761D3" w:rsidRDefault="003761D3" w:rsidP="006B2A35">
            <w:pPr>
              <w:spacing w:line="240" w:lineRule="auto"/>
              <w:jc w:val="center"/>
              <w:rPr>
                <w:sz w:val="20"/>
                <w:szCs w:val="20"/>
              </w:rPr>
            </w:pPr>
            <w:r>
              <w:rPr>
                <w:sz w:val="20"/>
                <w:szCs w:val="20"/>
              </w:rPr>
              <w:t xml:space="preserve">Where possible, patients </w:t>
            </w:r>
            <w:r w:rsidR="000A2D61">
              <w:rPr>
                <w:sz w:val="20"/>
                <w:szCs w:val="20"/>
              </w:rPr>
              <w:t>will</w:t>
            </w:r>
            <w:r>
              <w:rPr>
                <w:sz w:val="20"/>
                <w:szCs w:val="20"/>
              </w:rPr>
              <w:t xml:space="preserve"> be informed “at point of contact” that their records will be accessed or shared as a result of an </w:t>
            </w:r>
            <w:r w:rsidR="00375ACE">
              <w:rPr>
                <w:sz w:val="20"/>
                <w:szCs w:val="20"/>
              </w:rPr>
              <w:t>consultation -</w:t>
            </w:r>
            <w:r w:rsidR="000A2D61">
              <w:rPr>
                <w:sz w:val="20"/>
                <w:szCs w:val="20"/>
              </w:rPr>
              <w:t xml:space="preserve"> see below.</w:t>
            </w:r>
          </w:p>
          <w:p w14:paraId="15A30373" w14:textId="0D5EFD13" w:rsidR="001B4257" w:rsidRPr="001B4257" w:rsidRDefault="001B4257" w:rsidP="006B2A35">
            <w:pPr>
              <w:spacing w:line="240" w:lineRule="auto"/>
              <w:jc w:val="center"/>
              <w:rPr>
                <w:b/>
                <w:sz w:val="10"/>
                <w:szCs w:val="10"/>
              </w:rPr>
            </w:pPr>
          </w:p>
        </w:tc>
      </w:tr>
      <w:tr w:rsidR="003761D3" w:rsidRPr="009A6EAE" w14:paraId="6E5C1F00" w14:textId="77777777" w:rsidTr="00742EBB">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25EBE755" w14:textId="77777777" w:rsidR="003761D3" w:rsidRDefault="003761D3" w:rsidP="003761D3">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61669F7" w14:textId="77777777" w:rsidR="003761D3" w:rsidRPr="0049256C" w:rsidRDefault="003761D3" w:rsidP="003761D3">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04EC0A84" w14:textId="77777777" w:rsidR="003761D3" w:rsidRPr="001B4257" w:rsidRDefault="003761D3" w:rsidP="003761D3">
            <w:pPr>
              <w:spacing w:line="240" w:lineRule="auto"/>
              <w:jc w:val="center"/>
              <w:rPr>
                <w:rFonts w:cs="Calibri"/>
                <w:color w:val="000000"/>
                <w:sz w:val="10"/>
                <w:szCs w:val="10"/>
                <w:lang w:eastAsia="en-GB"/>
              </w:rPr>
            </w:pPr>
          </w:p>
        </w:tc>
      </w:tr>
      <w:tr w:rsidR="003761D3" w:rsidRPr="009A6EAE" w14:paraId="07E6FEC4" w14:textId="77777777" w:rsidTr="00742EBB">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8446B0" w14:textId="6C7B4DE1" w:rsidR="003761D3" w:rsidRDefault="003761D3" w:rsidP="003761D3">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0C98A6A8" w14:textId="77777777" w:rsidR="003761D3" w:rsidRPr="0049256C" w:rsidRDefault="003761D3" w:rsidP="003761D3">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A2E431" w14:textId="77777777" w:rsidR="003761D3" w:rsidRPr="001B4257" w:rsidRDefault="003761D3" w:rsidP="003761D3">
            <w:pPr>
              <w:spacing w:line="240" w:lineRule="auto"/>
              <w:jc w:val="center"/>
              <w:rPr>
                <w:rFonts w:cs="Calibri"/>
                <w:color w:val="000000"/>
                <w:sz w:val="10"/>
                <w:szCs w:val="10"/>
                <w:lang w:eastAsia="en-GB"/>
              </w:rPr>
            </w:pPr>
          </w:p>
          <w:p w14:paraId="4E191440" w14:textId="3ED45453" w:rsidR="003761D3" w:rsidRDefault="003761D3" w:rsidP="00D36797">
            <w:pPr>
              <w:spacing w:line="240" w:lineRule="auto"/>
              <w:jc w:val="center"/>
              <w:rPr>
                <w:rFonts w:cs="Calibri"/>
                <w:color w:val="000000"/>
                <w:sz w:val="20"/>
                <w:szCs w:val="20"/>
                <w:lang w:eastAsia="en-GB"/>
              </w:rPr>
            </w:pPr>
            <w:r>
              <w:rPr>
                <w:rFonts w:cs="Calibri"/>
                <w:color w:val="000000"/>
                <w:sz w:val="20"/>
                <w:szCs w:val="20"/>
                <w:lang w:eastAsia="en-GB"/>
              </w:rPr>
              <w:t xml:space="preserve">All members of the </w:t>
            </w:r>
            <w:r w:rsidR="00EC28E4">
              <w:rPr>
                <w:rFonts w:cs="Calibri"/>
                <w:color w:val="000000"/>
                <w:sz w:val="20"/>
                <w:szCs w:val="20"/>
                <w:lang w:eastAsia="en-GB"/>
              </w:rPr>
              <w:t>P</w:t>
            </w:r>
            <w:r w:rsidR="00DF57DC">
              <w:rPr>
                <w:rFonts w:cs="Calibri"/>
                <w:color w:val="000000"/>
                <w:sz w:val="20"/>
                <w:szCs w:val="20"/>
                <w:lang w:eastAsia="en-GB"/>
              </w:rPr>
              <w:t xml:space="preserve">harmacy Support Service </w:t>
            </w:r>
            <w:r w:rsidR="00EC28E4">
              <w:rPr>
                <w:rFonts w:cs="Calibri"/>
                <w:color w:val="000000"/>
                <w:sz w:val="20"/>
                <w:szCs w:val="20"/>
                <w:lang w:eastAsia="en-GB"/>
              </w:rPr>
              <w:t xml:space="preserve">Team </w:t>
            </w:r>
            <w:r>
              <w:rPr>
                <w:rFonts w:cs="Calibri"/>
                <w:color w:val="000000"/>
                <w:sz w:val="20"/>
                <w:szCs w:val="20"/>
                <w:lang w:eastAsia="en-GB"/>
              </w:rPr>
              <w:t>Must;</w:t>
            </w:r>
          </w:p>
          <w:p w14:paraId="0E5FD2F4" w14:textId="0D2CA5F2" w:rsidR="003761D3" w:rsidRDefault="003761D3" w:rsidP="00D36797">
            <w:pPr>
              <w:spacing w:line="240" w:lineRule="auto"/>
              <w:jc w:val="both"/>
              <w:rPr>
                <w:rFonts w:cs="Calibri"/>
                <w:color w:val="000000"/>
                <w:sz w:val="20"/>
                <w:szCs w:val="20"/>
                <w:lang w:eastAsia="en-GB"/>
              </w:rPr>
            </w:pPr>
          </w:p>
          <w:p w14:paraId="04E6FD73" w14:textId="03322691" w:rsidR="003761D3" w:rsidRPr="00485812" w:rsidRDefault="003761D3" w:rsidP="00D36797">
            <w:pPr>
              <w:pStyle w:val="ListParagraph"/>
              <w:numPr>
                <w:ilvl w:val="0"/>
                <w:numId w:val="9"/>
              </w:numPr>
              <w:spacing w:line="240" w:lineRule="auto"/>
              <w:jc w:val="both"/>
              <w:rPr>
                <w:rFonts w:cs="Calibri"/>
                <w:color w:val="000000"/>
                <w:sz w:val="20"/>
                <w:szCs w:val="20"/>
                <w:lang w:eastAsia="en-GB"/>
              </w:rPr>
            </w:pPr>
            <w:r w:rsidRPr="00485812">
              <w:rPr>
                <w:rFonts w:cs="Calibri"/>
                <w:color w:val="000000"/>
                <w:sz w:val="20"/>
                <w:szCs w:val="20"/>
                <w:lang w:eastAsia="en-GB"/>
              </w:rPr>
              <w:lastRenderedPageBreak/>
              <w:t xml:space="preserve">Have had </w:t>
            </w:r>
            <w:r w:rsidR="00E117CC">
              <w:rPr>
                <w:rFonts w:cs="Calibri"/>
                <w:color w:val="000000"/>
                <w:sz w:val="20"/>
                <w:szCs w:val="20"/>
                <w:lang w:eastAsia="en-GB"/>
              </w:rPr>
              <w:t>data security and protection</w:t>
            </w:r>
            <w:r w:rsidRPr="00485812">
              <w:rPr>
                <w:rFonts w:cs="Calibri"/>
                <w:color w:val="000000"/>
                <w:sz w:val="20"/>
                <w:szCs w:val="20"/>
                <w:lang w:eastAsia="en-GB"/>
              </w:rPr>
              <w:t xml:space="preserve"> training within the last 12 months</w:t>
            </w:r>
          </w:p>
          <w:p w14:paraId="0898653E" w14:textId="2E0DF339" w:rsidR="003761D3" w:rsidRPr="00485812" w:rsidRDefault="003761D3" w:rsidP="00D36797">
            <w:pPr>
              <w:pStyle w:val="ListParagraph"/>
              <w:numPr>
                <w:ilvl w:val="0"/>
                <w:numId w:val="9"/>
              </w:numPr>
              <w:spacing w:line="240" w:lineRule="auto"/>
              <w:jc w:val="both"/>
              <w:rPr>
                <w:rFonts w:cs="Calibri"/>
                <w:color w:val="000000"/>
                <w:sz w:val="20"/>
                <w:szCs w:val="20"/>
                <w:lang w:eastAsia="en-GB"/>
              </w:rPr>
            </w:pPr>
            <w:r w:rsidRPr="00485812">
              <w:rPr>
                <w:rFonts w:cs="Calibri"/>
                <w:color w:val="000000"/>
                <w:sz w:val="20"/>
                <w:szCs w:val="20"/>
                <w:lang w:eastAsia="en-GB"/>
              </w:rPr>
              <w:t>Have confidentiality clauses within their employment contract</w:t>
            </w:r>
          </w:p>
          <w:p w14:paraId="3DC41084" w14:textId="77777777" w:rsidR="00076E93" w:rsidRDefault="00076E93" w:rsidP="00D36797">
            <w:pPr>
              <w:spacing w:line="240" w:lineRule="auto"/>
              <w:jc w:val="center"/>
              <w:rPr>
                <w:rFonts w:cs="Calibri"/>
                <w:color w:val="000000"/>
                <w:sz w:val="20"/>
                <w:szCs w:val="20"/>
                <w:lang w:eastAsia="en-GB"/>
              </w:rPr>
            </w:pPr>
          </w:p>
          <w:p w14:paraId="68388A5A" w14:textId="2633F0D8" w:rsidR="003761D3" w:rsidRDefault="003761D3" w:rsidP="00D36797">
            <w:pPr>
              <w:spacing w:line="240" w:lineRule="auto"/>
              <w:jc w:val="center"/>
              <w:rPr>
                <w:rFonts w:cs="Calibri"/>
                <w:color w:val="000000"/>
                <w:sz w:val="20"/>
                <w:szCs w:val="20"/>
                <w:lang w:eastAsia="en-GB"/>
              </w:rPr>
            </w:pPr>
            <w:r>
              <w:rPr>
                <w:rFonts w:cs="Calibri"/>
                <w:color w:val="000000"/>
                <w:sz w:val="20"/>
                <w:szCs w:val="20"/>
                <w:lang w:eastAsia="en-GB"/>
              </w:rPr>
              <w:t>Have regard for</w:t>
            </w:r>
            <w:r w:rsidR="000A2D61">
              <w:rPr>
                <w:rFonts w:cs="Calibri"/>
                <w:color w:val="000000"/>
                <w:sz w:val="20"/>
                <w:szCs w:val="20"/>
                <w:lang w:eastAsia="en-GB"/>
              </w:rPr>
              <w:t xml:space="preserve"> internal protocols</w:t>
            </w:r>
            <w:r>
              <w:rPr>
                <w:rFonts w:cs="Calibri"/>
                <w:color w:val="000000"/>
                <w:sz w:val="20"/>
                <w:szCs w:val="20"/>
                <w:lang w:eastAsia="en-GB"/>
              </w:rPr>
              <w:t>, in particular;</w:t>
            </w:r>
          </w:p>
          <w:p w14:paraId="7DC7C25F" w14:textId="09FFE3E9" w:rsidR="003761D3" w:rsidRDefault="003761D3" w:rsidP="00D36797">
            <w:pPr>
              <w:spacing w:line="240" w:lineRule="auto"/>
              <w:jc w:val="center"/>
              <w:rPr>
                <w:rFonts w:cs="Calibri"/>
                <w:color w:val="000000"/>
                <w:sz w:val="20"/>
                <w:szCs w:val="20"/>
                <w:lang w:eastAsia="en-GB"/>
              </w:rPr>
            </w:pPr>
          </w:p>
          <w:p w14:paraId="05A7B1F5" w14:textId="49E87852" w:rsidR="003761D3" w:rsidRPr="003761D3" w:rsidRDefault="003761D3" w:rsidP="00D36797">
            <w:pPr>
              <w:pStyle w:val="ListParagraph"/>
              <w:numPr>
                <w:ilvl w:val="0"/>
                <w:numId w:val="8"/>
              </w:numPr>
              <w:spacing w:line="240" w:lineRule="auto"/>
              <w:jc w:val="both"/>
              <w:rPr>
                <w:rFonts w:cs="Calibri"/>
                <w:color w:val="000000"/>
                <w:sz w:val="20"/>
                <w:szCs w:val="20"/>
                <w:lang w:eastAsia="en-GB"/>
              </w:rPr>
            </w:pPr>
            <w:r w:rsidRPr="003761D3">
              <w:rPr>
                <w:rFonts w:cs="Calibri"/>
                <w:color w:val="000000"/>
                <w:sz w:val="20"/>
                <w:szCs w:val="20"/>
                <w:lang w:eastAsia="en-GB"/>
              </w:rPr>
              <w:t>Do not talk about patients or staff in public places or where you can be overheard</w:t>
            </w:r>
          </w:p>
          <w:p w14:paraId="0D62C4BF" w14:textId="5C6E2EBB" w:rsidR="003761D3" w:rsidRPr="003761D3" w:rsidRDefault="003761D3" w:rsidP="00D36797">
            <w:pPr>
              <w:pStyle w:val="ListParagraph"/>
              <w:numPr>
                <w:ilvl w:val="0"/>
                <w:numId w:val="8"/>
              </w:numPr>
              <w:spacing w:line="240" w:lineRule="auto"/>
              <w:jc w:val="both"/>
              <w:rPr>
                <w:rFonts w:cs="Calibri"/>
                <w:color w:val="000000"/>
                <w:sz w:val="20"/>
                <w:szCs w:val="20"/>
                <w:lang w:eastAsia="en-GB"/>
              </w:rPr>
            </w:pPr>
            <w:r w:rsidRPr="003761D3">
              <w:rPr>
                <w:rFonts w:cs="Calibri"/>
                <w:color w:val="000000"/>
                <w:sz w:val="20"/>
                <w:szCs w:val="20"/>
                <w:lang w:eastAsia="en-GB"/>
              </w:rPr>
              <w:t>Do not leave any medical or staff records or confidential information lying around unattended</w:t>
            </w:r>
          </w:p>
          <w:p w14:paraId="3FFEBEE3" w14:textId="60989910" w:rsidR="003761D3" w:rsidRPr="003761D3" w:rsidRDefault="003761D3" w:rsidP="00D36797">
            <w:pPr>
              <w:pStyle w:val="ListParagraph"/>
              <w:numPr>
                <w:ilvl w:val="0"/>
                <w:numId w:val="8"/>
              </w:numPr>
              <w:spacing w:line="240" w:lineRule="auto"/>
              <w:jc w:val="both"/>
              <w:rPr>
                <w:rFonts w:cs="Calibri"/>
                <w:color w:val="000000"/>
                <w:sz w:val="20"/>
                <w:szCs w:val="20"/>
                <w:lang w:eastAsia="en-GB"/>
              </w:rPr>
            </w:pPr>
            <w:r w:rsidRPr="003761D3">
              <w:rPr>
                <w:rFonts w:cs="Calibri"/>
                <w:color w:val="000000"/>
                <w:sz w:val="20"/>
                <w:szCs w:val="20"/>
                <w:lang w:eastAsia="en-GB"/>
              </w:rPr>
              <w:t>Make sure that any computer screens, or other displays of confidential information i.e. whiteboards, cannot be seen by anyone who does not need to know.</w:t>
            </w:r>
          </w:p>
          <w:p w14:paraId="21228478" w14:textId="31AB5F3E" w:rsidR="003761D3" w:rsidRPr="003761D3" w:rsidRDefault="003761D3" w:rsidP="00D36797">
            <w:pPr>
              <w:pStyle w:val="ListParagraph"/>
              <w:numPr>
                <w:ilvl w:val="0"/>
                <w:numId w:val="8"/>
              </w:numPr>
              <w:spacing w:line="240" w:lineRule="auto"/>
              <w:jc w:val="both"/>
              <w:rPr>
                <w:rFonts w:cs="Calibri"/>
                <w:color w:val="000000"/>
                <w:sz w:val="20"/>
                <w:szCs w:val="20"/>
                <w:lang w:eastAsia="en-GB"/>
              </w:rPr>
            </w:pPr>
            <w:r w:rsidRPr="003761D3">
              <w:rPr>
                <w:rFonts w:cs="Calibri"/>
                <w:color w:val="000000"/>
                <w:sz w:val="20"/>
                <w:szCs w:val="20"/>
                <w:lang w:eastAsia="en-GB"/>
              </w:rPr>
              <w:t>Ensure that screens are locked when away from desk</w:t>
            </w:r>
          </w:p>
          <w:p w14:paraId="4440A218" w14:textId="6FC6FDFF" w:rsidR="003761D3" w:rsidRPr="003761D3" w:rsidRDefault="003761D3" w:rsidP="00D36797">
            <w:pPr>
              <w:pStyle w:val="ListParagraph"/>
              <w:numPr>
                <w:ilvl w:val="0"/>
                <w:numId w:val="8"/>
              </w:numPr>
              <w:spacing w:line="240" w:lineRule="auto"/>
              <w:jc w:val="both"/>
              <w:rPr>
                <w:rFonts w:cs="Calibri"/>
                <w:color w:val="000000"/>
                <w:sz w:val="20"/>
                <w:szCs w:val="20"/>
                <w:lang w:eastAsia="en-GB"/>
              </w:rPr>
            </w:pPr>
            <w:r w:rsidRPr="003761D3">
              <w:rPr>
                <w:rFonts w:cs="Calibri"/>
                <w:color w:val="000000"/>
                <w:sz w:val="20"/>
                <w:szCs w:val="20"/>
                <w:lang w:eastAsia="en-GB"/>
              </w:rPr>
              <w:t>Maintain a clear desk policy and undertake regular checks where possible to identify errors or potential breaches</w:t>
            </w:r>
          </w:p>
          <w:p w14:paraId="7E975CE3" w14:textId="1B96748C" w:rsidR="003761D3" w:rsidRPr="003761D3" w:rsidRDefault="000A2D61" w:rsidP="00D36797">
            <w:pPr>
              <w:pStyle w:val="ListParagraph"/>
              <w:numPr>
                <w:ilvl w:val="0"/>
                <w:numId w:val="8"/>
              </w:numPr>
              <w:spacing w:line="240" w:lineRule="auto"/>
              <w:jc w:val="both"/>
              <w:rPr>
                <w:rFonts w:cs="Calibri"/>
                <w:color w:val="000000"/>
                <w:sz w:val="20"/>
                <w:szCs w:val="20"/>
                <w:lang w:eastAsia="en-GB"/>
              </w:rPr>
            </w:pPr>
            <w:r>
              <w:rPr>
                <w:rFonts w:cs="Calibri"/>
                <w:color w:val="000000"/>
                <w:sz w:val="20"/>
                <w:szCs w:val="20"/>
                <w:lang w:eastAsia="en-GB"/>
              </w:rPr>
              <w:t>E</w:t>
            </w:r>
            <w:r w:rsidR="003761D3" w:rsidRPr="003761D3">
              <w:rPr>
                <w:rFonts w:cs="Calibri"/>
                <w:color w:val="000000"/>
                <w:sz w:val="20"/>
                <w:szCs w:val="20"/>
                <w:lang w:eastAsia="en-GB"/>
              </w:rPr>
              <w:t>nsure that remote working practice complies with policies and procedures.</w:t>
            </w:r>
          </w:p>
          <w:p w14:paraId="0FD37F6E" w14:textId="7B67108C" w:rsidR="003761D3" w:rsidRPr="003761D3" w:rsidRDefault="000A2D61" w:rsidP="00D36797">
            <w:pPr>
              <w:pStyle w:val="ListParagraph"/>
              <w:numPr>
                <w:ilvl w:val="0"/>
                <w:numId w:val="8"/>
              </w:numPr>
              <w:spacing w:line="240" w:lineRule="auto"/>
              <w:jc w:val="both"/>
              <w:rPr>
                <w:rFonts w:cs="Calibri"/>
                <w:color w:val="000000"/>
                <w:sz w:val="20"/>
                <w:szCs w:val="20"/>
                <w:lang w:eastAsia="en-GB"/>
              </w:rPr>
            </w:pPr>
            <w:r>
              <w:rPr>
                <w:rFonts w:cs="Calibri"/>
                <w:color w:val="000000"/>
                <w:sz w:val="20"/>
                <w:szCs w:val="20"/>
                <w:lang w:eastAsia="en-GB"/>
              </w:rPr>
              <w:t>Take responsibility</w:t>
            </w:r>
            <w:r w:rsidR="003761D3" w:rsidRPr="003761D3">
              <w:rPr>
                <w:rFonts w:cs="Calibri"/>
                <w:color w:val="000000"/>
                <w:sz w:val="20"/>
                <w:szCs w:val="20"/>
                <w:lang w:eastAsia="en-GB"/>
              </w:rPr>
              <w:t xml:space="preserve"> for keeping Personal Confidential Information secure and confidential whilst working remotely, including preventing incidental access by others in the environment</w:t>
            </w:r>
          </w:p>
          <w:p w14:paraId="1638C523" w14:textId="77777777" w:rsidR="003761D3" w:rsidRPr="003761D3" w:rsidRDefault="003761D3" w:rsidP="00D36797">
            <w:pPr>
              <w:pStyle w:val="ListParagraph"/>
              <w:numPr>
                <w:ilvl w:val="0"/>
                <w:numId w:val="8"/>
              </w:numPr>
              <w:spacing w:line="240" w:lineRule="auto"/>
              <w:jc w:val="both"/>
              <w:rPr>
                <w:b/>
                <w:sz w:val="20"/>
                <w:szCs w:val="20"/>
              </w:rPr>
            </w:pPr>
            <w:r w:rsidRPr="003761D3">
              <w:rPr>
                <w:rFonts w:cs="Calibri"/>
                <w:color w:val="000000"/>
                <w:sz w:val="20"/>
                <w:szCs w:val="20"/>
                <w:lang w:eastAsia="en-GB"/>
              </w:rPr>
              <w:t>All information on mobile devices must be transferred to the network as soon as possible and the information then erased from the mobile device</w:t>
            </w:r>
          </w:p>
          <w:p w14:paraId="573E30E7" w14:textId="57E563F6" w:rsidR="003761D3" w:rsidRPr="003761D3" w:rsidRDefault="003761D3" w:rsidP="003761D3">
            <w:pPr>
              <w:pStyle w:val="ListParagraph"/>
              <w:spacing w:line="240" w:lineRule="auto"/>
              <w:rPr>
                <w:b/>
                <w:sz w:val="20"/>
                <w:szCs w:val="20"/>
              </w:rPr>
            </w:pPr>
          </w:p>
        </w:tc>
      </w:tr>
      <w:tr w:rsidR="00742EBB" w:rsidRPr="009A6EAE" w14:paraId="22E784F3" w14:textId="77777777" w:rsidTr="00742EBB">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7CB0A24D" w14:textId="77777777" w:rsidR="00742EBB" w:rsidRDefault="00742EBB" w:rsidP="003761D3">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1F4F5EC8" w14:textId="77777777" w:rsidR="00742EBB" w:rsidRPr="0049256C" w:rsidRDefault="00742EBB" w:rsidP="003761D3">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42F3ED68" w14:textId="77777777" w:rsidR="00742EBB" w:rsidRPr="006B2A35" w:rsidRDefault="00742EBB" w:rsidP="003761D3">
            <w:pPr>
              <w:spacing w:line="240" w:lineRule="auto"/>
              <w:jc w:val="center"/>
              <w:rPr>
                <w:b/>
                <w:sz w:val="20"/>
                <w:szCs w:val="20"/>
              </w:rPr>
            </w:pPr>
          </w:p>
        </w:tc>
      </w:tr>
      <w:tr w:rsidR="003761D3" w:rsidRPr="009A6EAE" w14:paraId="6E1C8F1B" w14:textId="77777777" w:rsidTr="00742EBB">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97671A" w14:textId="31FCBC6E" w:rsidR="003761D3" w:rsidRPr="00C94B7F" w:rsidRDefault="003761D3" w:rsidP="003761D3">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155B221F" w14:textId="77777777" w:rsidR="003761D3" w:rsidRPr="009A6EAE" w:rsidRDefault="003761D3" w:rsidP="003761D3">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3761D3" w:rsidRPr="006B2A35" w14:paraId="791B0150" w14:textId="77777777" w:rsidTr="000A2D61">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2A4C7B" w14:textId="77777777" w:rsidR="003761D3" w:rsidRPr="006B2A35" w:rsidRDefault="003761D3" w:rsidP="003761D3">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C4C97A" w14:textId="77777777" w:rsidR="003761D3" w:rsidRPr="006B2A35" w:rsidRDefault="003761D3" w:rsidP="003761D3">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72090A" w14:textId="77777777" w:rsidR="003761D3" w:rsidRPr="006B2A35" w:rsidRDefault="003761D3" w:rsidP="003761D3">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D1958F" w14:textId="77777777" w:rsidR="003761D3" w:rsidRPr="006B2A35" w:rsidRDefault="003761D3" w:rsidP="003761D3">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34904" w14:textId="77777777" w:rsidR="003761D3" w:rsidRPr="006B2A35" w:rsidRDefault="003761D3" w:rsidP="003761D3">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F515E3" w14:textId="77777777" w:rsidR="003761D3" w:rsidRPr="006B2A35" w:rsidRDefault="003761D3" w:rsidP="003761D3">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5593FD" w14:textId="77777777" w:rsidR="003761D3" w:rsidRPr="006B2A35" w:rsidRDefault="003761D3" w:rsidP="003761D3">
                  <w:pPr>
                    <w:spacing w:line="240" w:lineRule="auto"/>
                    <w:jc w:val="center"/>
                    <w:rPr>
                      <w:b/>
                      <w:sz w:val="20"/>
                      <w:szCs w:val="20"/>
                    </w:rPr>
                  </w:pPr>
                  <w:r w:rsidRPr="006B2A35">
                    <w:rPr>
                      <w:b/>
                      <w:sz w:val="20"/>
                      <w:szCs w:val="20"/>
                    </w:rPr>
                    <w:t>Common Law Duty of Confidentiality</w:t>
                  </w:r>
                </w:p>
              </w:tc>
            </w:tr>
            <w:tr w:rsidR="003761D3" w:rsidRPr="006B2A35" w14:paraId="5ED094EF" w14:textId="77777777" w:rsidTr="000A2D61">
              <w:tc>
                <w:tcPr>
                  <w:tcW w:w="1465" w:type="dxa"/>
                  <w:tcBorders>
                    <w:top w:val="single" w:sz="4" w:space="0" w:color="auto"/>
                    <w:left w:val="single" w:sz="4" w:space="0" w:color="auto"/>
                    <w:bottom w:val="single" w:sz="4" w:space="0" w:color="auto"/>
                    <w:right w:val="single" w:sz="4" w:space="0" w:color="auto"/>
                  </w:tcBorders>
                  <w:vAlign w:val="center"/>
                  <w:hideMark/>
                </w:tcPr>
                <w:p w14:paraId="1C0E40F1" w14:textId="77777777" w:rsidR="003761D3" w:rsidRPr="006B2A35" w:rsidRDefault="003761D3" w:rsidP="003761D3">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9DE2029"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984B118"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28AA449" w14:textId="77777777" w:rsidR="003761D3" w:rsidRPr="006B2A35" w:rsidRDefault="003761D3" w:rsidP="003761D3">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BCD51B2" w14:textId="77777777" w:rsidR="003761D3" w:rsidRPr="006B2A35" w:rsidRDefault="003761D3" w:rsidP="003761D3">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EC3F6F2" w14:textId="77777777" w:rsidR="003761D3" w:rsidRPr="006B2A35" w:rsidRDefault="003761D3" w:rsidP="003761D3">
                  <w:pPr>
                    <w:spacing w:line="240" w:lineRule="auto"/>
                    <w:jc w:val="center"/>
                    <w:rPr>
                      <w:sz w:val="20"/>
                      <w:szCs w:val="20"/>
                    </w:rPr>
                  </w:pPr>
                  <w:r w:rsidRPr="006B2A35">
                    <w:rPr>
                      <w:sz w:val="20"/>
                      <w:szCs w:val="20"/>
                    </w:rPr>
                    <w:t>In accordance with the law</w:t>
                  </w:r>
                </w:p>
                <w:p w14:paraId="6EE5A795" w14:textId="77777777" w:rsidR="003761D3" w:rsidRPr="006B2A35" w:rsidRDefault="003761D3" w:rsidP="003761D3">
                  <w:pPr>
                    <w:spacing w:line="240" w:lineRule="auto"/>
                    <w:jc w:val="center"/>
                    <w:rPr>
                      <w:sz w:val="20"/>
                      <w:szCs w:val="20"/>
                    </w:rPr>
                  </w:pPr>
                </w:p>
                <w:p w14:paraId="7B5B0120" w14:textId="77777777" w:rsidR="003761D3" w:rsidRPr="006B2A35" w:rsidRDefault="003761D3" w:rsidP="003761D3">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6D472E85" w14:textId="3764386C" w:rsidR="003761D3" w:rsidRPr="006B2A35" w:rsidRDefault="003761D3" w:rsidP="003761D3">
                  <w:pPr>
                    <w:spacing w:line="240" w:lineRule="auto"/>
                    <w:jc w:val="center"/>
                    <w:rPr>
                      <w:sz w:val="20"/>
                      <w:szCs w:val="20"/>
                    </w:rPr>
                  </w:pPr>
                  <w:r w:rsidRPr="006B2A35">
                    <w:rPr>
                      <w:sz w:val="20"/>
                      <w:szCs w:val="20"/>
                    </w:rPr>
                    <w:t xml:space="preserve">See </w:t>
                  </w:r>
                  <w:r w:rsidR="00645895">
                    <w:rPr>
                      <w:sz w:val="20"/>
                      <w:szCs w:val="20"/>
                    </w:rPr>
                    <w:t>Above</w:t>
                  </w:r>
                </w:p>
              </w:tc>
            </w:tr>
            <w:tr w:rsidR="003761D3" w:rsidRPr="006B2A35" w14:paraId="725EEF00" w14:textId="77777777" w:rsidTr="000A2D61">
              <w:tc>
                <w:tcPr>
                  <w:tcW w:w="1465" w:type="dxa"/>
                  <w:tcBorders>
                    <w:top w:val="single" w:sz="4" w:space="0" w:color="auto"/>
                    <w:left w:val="single" w:sz="4" w:space="0" w:color="auto"/>
                    <w:bottom w:val="single" w:sz="4" w:space="0" w:color="auto"/>
                    <w:right w:val="single" w:sz="4" w:space="0" w:color="auto"/>
                  </w:tcBorders>
                  <w:vAlign w:val="center"/>
                  <w:hideMark/>
                </w:tcPr>
                <w:p w14:paraId="02EE6EF8" w14:textId="77777777" w:rsidR="003761D3" w:rsidRPr="006B2A35" w:rsidRDefault="003761D3" w:rsidP="003761D3">
                  <w:pPr>
                    <w:spacing w:line="240" w:lineRule="auto"/>
                    <w:jc w:val="center"/>
                    <w:rPr>
                      <w:sz w:val="20"/>
                      <w:szCs w:val="20"/>
                    </w:rPr>
                  </w:pPr>
                  <w:r w:rsidRPr="006B2A35">
                    <w:rPr>
                      <w:sz w:val="20"/>
                      <w:szCs w:val="20"/>
                    </w:rPr>
                    <w:t>Management of healthcare services (local)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023C0EA"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6AC99EA"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6998CBC" w14:textId="77777777" w:rsidR="003761D3" w:rsidRPr="006B2A35" w:rsidRDefault="003761D3" w:rsidP="003761D3">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BB8E343" w14:textId="77777777" w:rsidR="003761D3" w:rsidRPr="006B2A35" w:rsidRDefault="003761D3" w:rsidP="003761D3">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EF34872" w14:textId="77777777" w:rsidR="003761D3" w:rsidRPr="006B2A35" w:rsidRDefault="003761D3" w:rsidP="003761D3">
                  <w:pPr>
                    <w:spacing w:line="240" w:lineRule="auto"/>
                    <w:jc w:val="center"/>
                    <w:rPr>
                      <w:sz w:val="20"/>
                      <w:szCs w:val="20"/>
                    </w:rPr>
                  </w:pPr>
                  <w:r w:rsidRPr="006B2A35">
                    <w:rPr>
                      <w:sz w:val="20"/>
                      <w:szCs w:val="20"/>
                    </w:rPr>
                    <w:t>In accordance with the law</w:t>
                  </w:r>
                </w:p>
                <w:p w14:paraId="062F25B8" w14:textId="77777777" w:rsidR="003761D3" w:rsidRPr="006B2A35" w:rsidRDefault="003761D3" w:rsidP="003761D3">
                  <w:pPr>
                    <w:spacing w:line="240" w:lineRule="auto"/>
                    <w:jc w:val="center"/>
                    <w:rPr>
                      <w:sz w:val="20"/>
                      <w:szCs w:val="20"/>
                    </w:rPr>
                  </w:pPr>
                </w:p>
                <w:p w14:paraId="59C6B153" w14:textId="77777777" w:rsidR="003761D3" w:rsidRPr="006B2A35" w:rsidRDefault="003761D3" w:rsidP="003761D3">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68DA0CF" w14:textId="6F5C8CF2" w:rsidR="003761D3" w:rsidRPr="006B2A35" w:rsidRDefault="003761D3" w:rsidP="003761D3">
                  <w:pPr>
                    <w:spacing w:line="240" w:lineRule="auto"/>
                    <w:jc w:val="center"/>
                    <w:rPr>
                      <w:sz w:val="20"/>
                      <w:szCs w:val="20"/>
                    </w:rPr>
                  </w:pPr>
                  <w:r w:rsidRPr="006B2A35">
                    <w:rPr>
                      <w:sz w:val="20"/>
                      <w:szCs w:val="20"/>
                    </w:rPr>
                    <w:t xml:space="preserve">See </w:t>
                  </w:r>
                  <w:r w:rsidR="00645895">
                    <w:rPr>
                      <w:sz w:val="20"/>
                      <w:szCs w:val="20"/>
                    </w:rPr>
                    <w:t>Above</w:t>
                  </w:r>
                </w:p>
              </w:tc>
            </w:tr>
          </w:tbl>
          <w:p w14:paraId="6438B249" w14:textId="1FCC9F1F" w:rsidR="003761D3" w:rsidRPr="009A6EAE" w:rsidRDefault="003761D3" w:rsidP="003761D3">
            <w:pPr>
              <w:spacing w:line="240" w:lineRule="auto"/>
              <w:jc w:val="center"/>
              <w:rPr>
                <w:rFonts w:cs="Calibri"/>
                <w:color w:val="000000"/>
                <w:sz w:val="20"/>
                <w:szCs w:val="20"/>
                <w:lang w:eastAsia="en-GB"/>
              </w:rPr>
            </w:pPr>
          </w:p>
        </w:tc>
      </w:tr>
    </w:tbl>
    <w:p w14:paraId="54821C3D" w14:textId="3BF2B9AE" w:rsidR="003E3345" w:rsidRDefault="003E3345"/>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0A2D61" w14:paraId="46A614AA" w14:textId="77777777" w:rsidTr="002801A5">
        <w:trPr>
          <w:trHeight w:val="478"/>
        </w:trPr>
        <w:tc>
          <w:tcPr>
            <w:tcW w:w="980" w:type="pct"/>
            <w:shd w:val="clear" w:color="auto" w:fill="F2F2F2" w:themeFill="background1" w:themeFillShade="F2"/>
            <w:vAlign w:val="center"/>
          </w:tcPr>
          <w:p w14:paraId="3757B91F" w14:textId="1DBCFBE6" w:rsidR="000A2D61" w:rsidRPr="00A318B7" w:rsidRDefault="000A2D61" w:rsidP="002801A5">
            <w:pPr>
              <w:spacing w:line="240" w:lineRule="auto"/>
              <w:jc w:val="right"/>
              <w:rPr>
                <w:rFonts w:cs="Calibri"/>
                <w:color w:val="305496"/>
                <w:sz w:val="30"/>
                <w:szCs w:val="30"/>
                <w:lang w:eastAsia="en-GB"/>
              </w:rPr>
            </w:pPr>
            <w:r>
              <w:rPr>
                <w:rFonts w:cs="Calibri"/>
                <w:color w:val="305496"/>
                <w:sz w:val="30"/>
                <w:szCs w:val="30"/>
                <w:lang w:eastAsia="en-GB"/>
              </w:rPr>
              <w:lastRenderedPageBreak/>
              <w:t>Patient Right to Object (Information Sharing Scripts)</w:t>
            </w:r>
          </w:p>
        </w:tc>
        <w:tc>
          <w:tcPr>
            <w:tcW w:w="140" w:type="pct"/>
            <w:tcBorders>
              <w:top w:val="nil"/>
              <w:bottom w:val="nil"/>
            </w:tcBorders>
            <w:vAlign w:val="center"/>
          </w:tcPr>
          <w:p w14:paraId="3B65B5E6" w14:textId="77777777" w:rsidR="000A2D61" w:rsidRPr="00B274DA" w:rsidRDefault="000A2D61" w:rsidP="002801A5">
            <w:pPr>
              <w:rPr>
                <w:rFonts w:cs="Arial"/>
                <w:sz w:val="24"/>
                <w:szCs w:val="28"/>
              </w:rPr>
            </w:pPr>
          </w:p>
        </w:tc>
        <w:tc>
          <w:tcPr>
            <w:tcW w:w="3880" w:type="pct"/>
          </w:tcPr>
          <w:p w14:paraId="3C2094C3" w14:textId="77777777" w:rsidR="000A2D61" w:rsidRPr="00B274DA" w:rsidRDefault="000A2D61" w:rsidP="000A2D61">
            <w:pPr>
              <w:rPr>
                <w:b/>
                <w:sz w:val="24"/>
                <w:szCs w:val="28"/>
              </w:rPr>
            </w:pPr>
          </w:p>
          <w:p w14:paraId="2B84F22C" w14:textId="20C419CB" w:rsidR="000A2D61" w:rsidRPr="00B274DA" w:rsidRDefault="00A25C9F" w:rsidP="000A2D61">
            <w:pPr>
              <w:rPr>
                <w:bCs/>
                <w:sz w:val="24"/>
                <w:szCs w:val="28"/>
              </w:rPr>
            </w:pPr>
            <w:r w:rsidRPr="00B274DA">
              <w:rPr>
                <w:bCs/>
                <w:sz w:val="24"/>
                <w:szCs w:val="28"/>
              </w:rPr>
              <w:t>Suffolk GP Federation fair processing materials contain the following;</w:t>
            </w:r>
          </w:p>
          <w:p w14:paraId="4024B029" w14:textId="77777777" w:rsidR="00187859" w:rsidRDefault="00187859" w:rsidP="00B274DA">
            <w:pPr>
              <w:pStyle w:val="Heading3"/>
              <w:shd w:val="clear" w:color="auto" w:fill="E7E6E6" w:themeFill="background2"/>
              <w:rPr>
                <w:rFonts w:ascii="Times New Roman" w:hAnsi="Times New Roman"/>
                <w:szCs w:val="27"/>
              </w:rPr>
            </w:pPr>
            <w:r>
              <w:rPr>
                <w:rStyle w:val="Strong"/>
                <w:b w:val="0"/>
                <w:bCs w:val="0"/>
              </w:rPr>
              <w:t>Our Nurses at Your GP Surgery</w:t>
            </w:r>
          </w:p>
          <w:p w14:paraId="5A86EC56" w14:textId="77777777" w:rsidR="00187859" w:rsidRDefault="00187859" w:rsidP="00B274DA">
            <w:pPr>
              <w:pStyle w:val="NormalWeb"/>
              <w:shd w:val="clear" w:color="auto" w:fill="E7E6E6" w:themeFill="background2"/>
            </w:pPr>
            <w:r>
              <w:t>Suffolk GP Federation provide specialist nurses in areas such as mental health or medications. We have partnered with local GP practices to provide additional support and services, directly to patients at the surgery.</w:t>
            </w:r>
          </w:p>
          <w:p w14:paraId="0525781C" w14:textId="77777777" w:rsidR="00187859" w:rsidRDefault="00187859" w:rsidP="00B274DA">
            <w:pPr>
              <w:pStyle w:val="NormalWeb"/>
              <w:shd w:val="clear" w:color="auto" w:fill="E7E6E6" w:themeFill="background2"/>
            </w:pPr>
            <w:r>
              <w:t>When we do this, we collaborate with the GP practices to make sure that we take care of your personal data. We make decisions jointly to ensure that each party knows how to respond to any information requests that you make or how to respond if something goes wrong.</w:t>
            </w:r>
          </w:p>
          <w:p w14:paraId="097D8DFC" w14:textId="77777777" w:rsidR="00187859" w:rsidRDefault="00187859" w:rsidP="00B274DA">
            <w:pPr>
              <w:pStyle w:val="NormalWeb"/>
              <w:shd w:val="clear" w:color="auto" w:fill="E7E6E6" w:themeFill="background2"/>
            </w:pPr>
            <w:r>
              <w:t>Here is a list of the practices that we currently support with these services;</w:t>
            </w:r>
          </w:p>
          <w:p w14:paraId="30BCBEC9" w14:textId="77777777" w:rsidR="00187859" w:rsidRDefault="00187859" w:rsidP="00B274DA">
            <w:pPr>
              <w:pStyle w:val="NormalWeb"/>
              <w:shd w:val="clear" w:color="auto" w:fill="E7E6E6" w:themeFill="background2"/>
            </w:pPr>
            <w:r>
              <w:t>Burlington Road</w:t>
            </w:r>
            <w:r>
              <w:br/>
              <w:t>Derby Road</w:t>
            </w:r>
            <w:r>
              <w:br/>
              <w:t>Orchard Street / Dr Solway and Whale</w:t>
            </w:r>
            <w:r>
              <w:br/>
            </w:r>
            <w:proofErr w:type="spellStart"/>
            <w:r>
              <w:t>Ivry</w:t>
            </w:r>
            <w:proofErr w:type="spellEnd"/>
            <w:r>
              <w:t xml:space="preserve"> Street</w:t>
            </w:r>
            <w:r>
              <w:br/>
              <w:t>Two Rivers</w:t>
            </w:r>
            <w:r>
              <w:br/>
              <w:t>Hawthorn Drive</w:t>
            </w:r>
            <w:r>
              <w:br/>
              <w:t>Ravenswood</w:t>
            </w:r>
            <w:r>
              <w:br/>
              <w:t>Barrack Lane</w:t>
            </w:r>
            <w:r>
              <w:br/>
              <w:t>Felixstowe Road</w:t>
            </w:r>
          </w:p>
          <w:p w14:paraId="53EFEE60" w14:textId="77777777" w:rsidR="00187859" w:rsidRDefault="00187859" w:rsidP="00B274DA">
            <w:pPr>
              <w:pStyle w:val="NormalWeb"/>
              <w:shd w:val="clear" w:color="auto" w:fill="E7E6E6" w:themeFill="background2"/>
            </w:pPr>
            <w:r>
              <w:t>You can direct any information requests or queries to our Data Protection Officer at emma.cooper35@nhs.net.</w:t>
            </w:r>
          </w:p>
          <w:p w14:paraId="214ED882" w14:textId="40DFBC4D" w:rsidR="00A25C9F" w:rsidRPr="00B274DA" w:rsidRDefault="00187859" w:rsidP="000A2D61">
            <w:pPr>
              <w:rPr>
                <w:bCs/>
                <w:sz w:val="24"/>
                <w:szCs w:val="28"/>
              </w:rPr>
            </w:pPr>
            <w:r w:rsidRPr="00B274DA">
              <w:rPr>
                <w:bCs/>
                <w:sz w:val="24"/>
                <w:szCs w:val="28"/>
              </w:rPr>
              <w:t>The wider notice includes information about how to object to processing</w:t>
            </w:r>
          </w:p>
          <w:p w14:paraId="48001803" w14:textId="77777777" w:rsidR="000A2D61" w:rsidRPr="00B274DA" w:rsidRDefault="000A2D61" w:rsidP="002801A5">
            <w:pPr>
              <w:spacing w:line="276" w:lineRule="auto"/>
              <w:rPr>
                <w:rFonts w:cs="Arial"/>
                <w:sz w:val="24"/>
                <w:szCs w:val="28"/>
              </w:rPr>
            </w:pPr>
          </w:p>
        </w:tc>
      </w:tr>
    </w:tbl>
    <w:p w14:paraId="2915E7E5" w14:textId="77777777" w:rsidR="000A2D61" w:rsidRDefault="000A2D61"/>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E77731" w:rsidRPr="00743A58" w14:paraId="2DD51D51" w14:textId="77777777" w:rsidTr="00A318B7">
        <w:trPr>
          <w:trHeight w:val="478"/>
        </w:trPr>
        <w:tc>
          <w:tcPr>
            <w:tcW w:w="980" w:type="pct"/>
            <w:shd w:val="clear" w:color="auto" w:fill="F2F2F2" w:themeFill="background1" w:themeFillShade="F2"/>
            <w:vAlign w:val="center"/>
          </w:tcPr>
          <w:p w14:paraId="489701CE" w14:textId="71840AA6" w:rsidR="00E77731" w:rsidRPr="00A318B7" w:rsidRDefault="00E77731" w:rsidP="00A318B7">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642D17FF" w14:textId="77777777" w:rsidR="00E77731" w:rsidRPr="00A12D16" w:rsidRDefault="00E77731" w:rsidP="00571B14">
            <w:pPr>
              <w:rPr>
                <w:rFonts w:cs="Arial"/>
                <w:sz w:val="20"/>
                <w:szCs w:val="20"/>
              </w:rPr>
            </w:pPr>
          </w:p>
        </w:tc>
        <w:tc>
          <w:tcPr>
            <w:tcW w:w="3880" w:type="pct"/>
          </w:tcPr>
          <w:p w14:paraId="647C00DD" w14:textId="76461915" w:rsidR="00E77731" w:rsidRDefault="00E77731" w:rsidP="00E77731">
            <w:pPr>
              <w:spacing w:line="276" w:lineRule="auto"/>
              <w:rPr>
                <w:rFonts w:cs="Arial"/>
                <w:sz w:val="20"/>
                <w:szCs w:val="20"/>
              </w:rPr>
            </w:pPr>
            <w:r>
              <w:rPr>
                <w:rFonts w:cs="Arial"/>
                <w:sz w:val="20"/>
                <w:szCs w:val="20"/>
              </w:rPr>
              <w:t xml:space="preserve">Emma Cooper, </w:t>
            </w:r>
            <w:r w:rsidR="000A2D61">
              <w:rPr>
                <w:rFonts w:cs="Arial"/>
                <w:sz w:val="20"/>
                <w:szCs w:val="20"/>
              </w:rPr>
              <w:t>Suffolk GP Federation</w:t>
            </w:r>
            <w:r>
              <w:rPr>
                <w:rFonts w:cs="Arial"/>
                <w:sz w:val="20"/>
                <w:szCs w:val="20"/>
              </w:rPr>
              <w:t xml:space="preserve"> DPO </w:t>
            </w:r>
          </w:p>
          <w:p w14:paraId="30FE7B83" w14:textId="6A842448" w:rsidR="00E77731" w:rsidRDefault="00E77731" w:rsidP="00E77731">
            <w:pPr>
              <w:spacing w:line="276" w:lineRule="auto"/>
              <w:rPr>
                <w:rFonts w:cs="Arial"/>
                <w:sz w:val="20"/>
                <w:szCs w:val="20"/>
              </w:rPr>
            </w:pPr>
          </w:p>
        </w:tc>
      </w:tr>
      <w:tr w:rsidR="00A12D16" w:rsidRPr="00743A58" w14:paraId="3C8D65E3" w14:textId="00BE5F68" w:rsidTr="00A318B7">
        <w:trPr>
          <w:trHeight w:val="478"/>
        </w:trPr>
        <w:tc>
          <w:tcPr>
            <w:tcW w:w="980" w:type="pct"/>
            <w:shd w:val="clear" w:color="auto" w:fill="F2F2F2" w:themeFill="background1" w:themeFillShade="F2"/>
            <w:vAlign w:val="center"/>
          </w:tcPr>
          <w:p w14:paraId="48F93D3E" w14:textId="77777777" w:rsidR="00A12D16" w:rsidRPr="00A12D16" w:rsidRDefault="00A12D16" w:rsidP="00A318B7">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98709BD" w14:textId="65FC5A3B" w:rsidR="00A12D16" w:rsidRPr="00A12D16" w:rsidRDefault="00A12D16" w:rsidP="00571B14">
            <w:pPr>
              <w:rPr>
                <w:rFonts w:cs="Arial"/>
                <w:sz w:val="20"/>
                <w:szCs w:val="20"/>
              </w:rPr>
            </w:pPr>
          </w:p>
        </w:tc>
        <w:tc>
          <w:tcPr>
            <w:tcW w:w="3880" w:type="pct"/>
          </w:tcPr>
          <w:p w14:paraId="306C7157" w14:textId="77777777" w:rsidR="003761D3" w:rsidRDefault="003761D3" w:rsidP="003761D3">
            <w:pPr>
              <w:spacing w:line="276" w:lineRule="auto"/>
              <w:rPr>
                <w:rFonts w:cs="Arial"/>
                <w:sz w:val="20"/>
                <w:szCs w:val="20"/>
              </w:rPr>
            </w:pPr>
          </w:p>
          <w:p w14:paraId="225ED21B" w14:textId="1E1E40D0" w:rsidR="00A12D16" w:rsidRPr="003761D3" w:rsidRDefault="00A318B7" w:rsidP="00DF57DC">
            <w:pPr>
              <w:spacing w:line="276" w:lineRule="auto"/>
              <w:rPr>
                <w:rFonts w:cs="Arial"/>
                <w:sz w:val="20"/>
                <w:szCs w:val="20"/>
              </w:rPr>
            </w:pPr>
            <w:r w:rsidRPr="003761D3">
              <w:rPr>
                <w:rFonts w:cs="Arial"/>
                <w:sz w:val="20"/>
                <w:szCs w:val="20"/>
              </w:rPr>
              <w:t xml:space="preserve">A copy of this document should be </w:t>
            </w:r>
            <w:r w:rsidR="003761D3">
              <w:rPr>
                <w:rFonts w:cs="Arial"/>
                <w:sz w:val="20"/>
                <w:szCs w:val="20"/>
              </w:rPr>
              <w:t xml:space="preserve">provided to </w:t>
            </w:r>
            <w:r w:rsidR="000A2D61">
              <w:rPr>
                <w:rFonts w:cs="Arial"/>
                <w:sz w:val="20"/>
                <w:szCs w:val="20"/>
              </w:rPr>
              <w:t xml:space="preserve">all members of the </w:t>
            </w:r>
            <w:r w:rsidR="00DF57DC">
              <w:rPr>
                <w:rFonts w:cs="Arial"/>
                <w:sz w:val="20"/>
                <w:szCs w:val="20"/>
              </w:rPr>
              <w:t>Pharmacy Support Service Team</w:t>
            </w:r>
            <w:r w:rsidR="000A2D61">
              <w:rPr>
                <w:rFonts w:cs="Arial"/>
                <w:sz w:val="20"/>
                <w:szCs w:val="20"/>
              </w:rPr>
              <w:t xml:space="preserve"> </w:t>
            </w:r>
            <w:r w:rsidR="003761D3">
              <w:rPr>
                <w:rFonts w:cs="Arial"/>
                <w:sz w:val="20"/>
                <w:szCs w:val="20"/>
              </w:rPr>
              <w:t xml:space="preserve">and </w:t>
            </w:r>
            <w:r w:rsidRPr="003761D3">
              <w:rPr>
                <w:rFonts w:cs="Arial"/>
                <w:sz w:val="20"/>
                <w:szCs w:val="20"/>
              </w:rPr>
              <w:t>logged with the Information Governance Lead</w:t>
            </w:r>
            <w:r w:rsidR="003761D3">
              <w:rPr>
                <w:rFonts w:cs="Arial"/>
                <w:sz w:val="20"/>
                <w:szCs w:val="20"/>
              </w:rPr>
              <w:t xml:space="preserve"> / DPO</w:t>
            </w:r>
            <w:r w:rsidRPr="003761D3">
              <w:rPr>
                <w:rFonts w:cs="Arial"/>
                <w:sz w:val="20"/>
                <w:szCs w:val="20"/>
              </w:rPr>
              <w:t xml:space="preserve"> for each participating partner organisation.</w:t>
            </w:r>
          </w:p>
        </w:tc>
      </w:tr>
      <w:tr w:rsidR="00A12D16" w:rsidRPr="00743A58" w14:paraId="12E7E3AD" w14:textId="06FA74DB" w:rsidTr="00A318B7">
        <w:trPr>
          <w:trHeight w:val="339"/>
        </w:trPr>
        <w:tc>
          <w:tcPr>
            <w:tcW w:w="980" w:type="pct"/>
            <w:shd w:val="clear" w:color="auto" w:fill="F2F2F2" w:themeFill="background1" w:themeFillShade="F2"/>
            <w:vAlign w:val="center"/>
          </w:tcPr>
          <w:p w14:paraId="178A8138" w14:textId="77777777" w:rsidR="00A12D16" w:rsidRPr="00A318B7" w:rsidRDefault="00A12D16" w:rsidP="00A318B7">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378C0D52" w14:textId="03A8EDCE" w:rsidR="00A12D16" w:rsidRPr="00A12D16" w:rsidRDefault="00A12D16" w:rsidP="00571B14">
            <w:pPr>
              <w:pStyle w:val="Default"/>
              <w:spacing w:before="100" w:after="100"/>
              <w:rPr>
                <w:rFonts w:ascii="Arial Nova Light" w:hAnsi="Arial Nova Light"/>
                <w:color w:val="FF0000"/>
                <w:sz w:val="20"/>
                <w:szCs w:val="20"/>
              </w:rPr>
            </w:pPr>
          </w:p>
        </w:tc>
        <w:tc>
          <w:tcPr>
            <w:tcW w:w="3880" w:type="pct"/>
          </w:tcPr>
          <w:p w14:paraId="5161BB94" w14:textId="09A92AA8" w:rsidR="00A12D16" w:rsidRPr="00A12D16" w:rsidRDefault="00187859" w:rsidP="00571B14">
            <w:pPr>
              <w:pStyle w:val="Default"/>
              <w:spacing w:before="100" w:after="100"/>
              <w:rPr>
                <w:rFonts w:ascii="Arial Nova Light" w:hAnsi="Arial Nova Light"/>
                <w:color w:val="auto"/>
                <w:sz w:val="20"/>
                <w:szCs w:val="20"/>
                <w:highlight w:val="yellow"/>
              </w:rPr>
            </w:pPr>
            <w:r w:rsidRPr="00B274DA">
              <w:rPr>
                <w:rFonts w:ascii="Arial Nova Light" w:hAnsi="Arial Nova Light"/>
                <w:color w:val="auto"/>
                <w:sz w:val="20"/>
                <w:szCs w:val="20"/>
                <w:lang w:eastAsia="en-US"/>
              </w:rPr>
              <w:t>August 2019</w:t>
            </w:r>
          </w:p>
        </w:tc>
      </w:tr>
      <w:tr w:rsidR="00A12D16" w:rsidRPr="008455BE" w14:paraId="73CAC5CD" w14:textId="67D5AB06" w:rsidTr="00A318B7">
        <w:trPr>
          <w:trHeight w:val="497"/>
        </w:trPr>
        <w:tc>
          <w:tcPr>
            <w:tcW w:w="980" w:type="pct"/>
            <w:shd w:val="clear" w:color="auto" w:fill="F2F2F2" w:themeFill="background1" w:themeFillShade="F2"/>
            <w:vAlign w:val="center"/>
          </w:tcPr>
          <w:p w14:paraId="65161200" w14:textId="77777777" w:rsidR="00A12D16" w:rsidRPr="00A12D16" w:rsidRDefault="00A12D16" w:rsidP="00A318B7">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1ABD8602" w14:textId="61466CBB" w:rsidR="00A12D16" w:rsidRPr="00A12D16" w:rsidRDefault="00A12D16" w:rsidP="00571B14">
            <w:pPr>
              <w:pStyle w:val="Default"/>
              <w:spacing w:before="100" w:after="100"/>
              <w:rPr>
                <w:rFonts w:ascii="Arial Nova Light" w:hAnsi="Arial Nova Light"/>
                <w:color w:val="auto"/>
                <w:sz w:val="20"/>
                <w:szCs w:val="20"/>
              </w:rPr>
            </w:pPr>
          </w:p>
        </w:tc>
        <w:tc>
          <w:tcPr>
            <w:tcW w:w="3880" w:type="pct"/>
          </w:tcPr>
          <w:p w14:paraId="0B0EF0EE" w14:textId="65C62BCE" w:rsidR="00A12D16" w:rsidRPr="00A12D16" w:rsidRDefault="00A318B7" w:rsidP="00571B14">
            <w:pPr>
              <w:pStyle w:val="Default"/>
              <w:spacing w:before="100" w:after="100"/>
              <w:rPr>
                <w:rFonts w:ascii="Arial Nova Light" w:hAnsi="Arial Nova Light"/>
                <w:color w:val="auto"/>
                <w:sz w:val="20"/>
                <w:szCs w:val="20"/>
              </w:rPr>
            </w:pPr>
            <w:r w:rsidRPr="00A12D16">
              <w:rPr>
                <w:rFonts w:ascii="Arial Nova Light" w:hAnsi="Arial Nova Light"/>
                <w:color w:val="auto"/>
                <w:sz w:val="20"/>
                <w:szCs w:val="20"/>
              </w:rPr>
              <w:t>Two years from approval or at any time due to changes in legislation</w:t>
            </w:r>
          </w:p>
        </w:tc>
      </w:tr>
      <w:tr w:rsidR="00A12D16" w:rsidRPr="008455BE" w14:paraId="0500D25D" w14:textId="4D115F29" w:rsidTr="00815BA0">
        <w:trPr>
          <w:trHeight w:val="497"/>
        </w:trPr>
        <w:tc>
          <w:tcPr>
            <w:tcW w:w="980" w:type="pct"/>
            <w:shd w:val="clear" w:color="auto" w:fill="F2F2F2" w:themeFill="background1" w:themeFillShade="F2"/>
            <w:vAlign w:val="center"/>
          </w:tcPr>
          <w:p w14:paraId="451349D3" w14:textId="77777777" w:rsidR="00A12D16" w:rsidRPr="00A12D16" w:rsidRDefault="00A12D16" w:rsidP="00A318B7">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10040357" w14:textId="06BB81F0" w:rsidR="00A12D16" w:rsidRPr="00A12D16" w:rsidRDefault="00A12D16" w:rsidP="00571B14">
            <w:pPr>
              <w:pStyle w:val="Default"/>
              <w:rPr>
                <w:rFonts w:ascii="Arial Nova Light" w:hAnsi="Arial Nova Light"/>
                <w:color w:val="auto"/>
                <w:sz w:val="20"/>
                <w:szCs w:val="20"/>
              </w:rPr>
            </w:pPr>
          </w:p>
        </w:tc>
        <w:tc>
          <w:tcPr>
            <w:tcW w:w="3880" w:type="pct"/>
            <w:shd w:val="clear" w:color="auto" w:fill="auto"/>
            <w:vAlign w:val="center"/>
          </w:tcPr>
          <w:p w14:paraId="2E7C760C" w14:textId="6568FA86" w:rsidR="00A12D16" w:rsidRPr="00A12D16" w:rsidRDefault="00815BA0" w:rsidP="00B23372">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1EF45439" w14:textId="7A3D3FC6" w:rsidR="009074A8" w:rsidRDefault="009074A8"/>
    <w:p w14:paraId="1AC48698" w14:textId="77777777" w:rsidR="000A2D61" w:rsidRDefault="000A2D61"/>
    <w:sectPr w:rsidR="000A2D61" w:rsidSect="00363092">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189F" w14:textId="77777777" w:rsidR="00882877" w:rsidRDefault="00882877" w:rsidP="00371C71">
      <w:pPr>
        <w:spacing w:line="240" w:lineRule="auto"/>
      </w:pPr>
      <w:r>
        <w:separator/>
      </w:r>
    </w:p>
  </w:endnote>
  <w:endnote w:type="continuationSeparator" w:id="0">
    <w:p w14:paraId="49A747EE" w14:textId="77777777" w:rsidR="00882877" w:rsidRDefault="00882877" w:rsidP="00371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2D69" w14:textId="77777777" w:rsidR="00882877" w:rsidRDefault="00882877" w:rsidP="00371C71">
      <w:pPr>
        <w:spacing w:line="240" w:lineRule="auto"/>
      </w:pPr>
      <w:r>
        <w:separator/>
      </w:r>
    </w:p>
  </w:footnote>
  <w:footnote w:type="continuationSeparator" w:id="0">
    <w:p w14:paraId="6FD852A9" w14:textId="77777777" w:rsidR="00882877" w:rsidRDefault="00882877" w:rsidP="00371C71">
      <w:pPr>
        <w:spacing w:line="240" w:lineRule="auto"/>
      </w:pPr>
      <w:r>
        <w:continuationSeparator/>
      </w:r>
    </w:p>
  </w:footnote>
  <w:footnote w:id="1">
    <w:p w14:paraId="79F08280" w14:textId="323486C6" w:rsidR="00CB3489" w:rsidRPr="00CB3489" w:rsidRDefault="00CB3489" w:rsidP="00CB3489">
      <w:pPr>
        <w:spacing w:line="240" w:lineRule="auto"/>
        <w:rPr>
          <w:sz w:val="18"/>
          <w:szCs w:val="18"/>
          <w:lang w:eastAsia="en-GB"/>
        </w:rPr>
      </w:pPr>
      <w:r>
        <w:rPr>
          <w:rStyle w:val="FootnoteReference"/>
        </w:rPr>
        <w:footnoteRef/>
      </w:r>
      <w:r>
        <w:t xml:space="preserve"> </w:t>
      </w:r>
      <w:r w:rsidRPr="009A4F68">
        <w:rPr>
          <w:sz w:val="16"/>
          <w:szCs w:val="16"/>
          <w:lang w:eastAsia="en-GB"/>
        </w:rPr>
        <w:t>In the interests of providing safe and effective care at the point of access, it is necessary to have the option of a complete picture of a person’s health or social care history such that having an holistic view can prevent incidents and improve the standard of care delivery.</w:t>
      </w:r>
      <w:r w:rsidR="00222B9D" w:rsidRPr="009A4F68">
        <w:rPr>
          <w:sz w:val="16"/>
          <w:szCs w:val="16"/>
          <w:lang w:eastAsia="en-GB"/>
        </w:rPr>
        <w:t xml:space="preserve"> </w:t>
      </w:r>
      <w:r w:rsidRPr="009A4F68">
        <w:rPr>
          <w:sz w:val="16"/>
          <w:szCs w:val="16"/>
          <w:lang w:eastAsia="en-GB"/>
        </w:rPr>
        <w:t xml:space="preserve">Additionally, it would be impossible, given the </w:t>
      </w:r>
      <w:r w:rsidR="00222B9D" w:rsidRPr="009A4F68">
        <w:rPr>
          <w:sz w:val="16"/>
          <w:szCs w:val="16"/>
          <w:lang w:eastAsia="en-GB"/>
        </w:rPr>
        <w:t>various directions that a consultation might take and the multitude of factors affecting mental health</w:t>
      </w:r>
      <w:r w:rsidRPr="009A4F68">
        <w:rPr>
          <w:sz w:val="16"/>
          <w:szCs w:val="16"/>
          <w:lang w:eastAsia="en-GB"/>
        </w:rPr>
        <w:t xml:space="preserve">, to determine whether each data point is </w:t>
      </w:r>
      <w:r w:rsidRPr="009A4F68">
        <w:rPr>
          <w:b/>
          <w:i/>
          <w:sz w:val="16"/>
          <w:szCs w:val="16"/>
          <w:lang w:eastAsia="en-GB"/>
        </w:rPr>
        <w:t xml:space="preserve">necessary </w:t>
      </w:r>
      <w:r w:rsidRPr="009A4F68">
        <w:rPr>
          <w:sz w:val="16"/>
          <w:szCs w:val="16"/>
          <w:lang w:eastAsia="en-GB"/>
        </w:rPr>
        <w:t>for any future episode of care.</w:t>
      </w:r>
      <w:r w:rsidR="00222B9D" w:rsidRPr="009A4F68">
        <w:rPr>
          <w:sz w:val="16"/>
          <w:szCs w:val="16"/>
          <w:lang w:eastAsia="en-GB"/>
        </w:rPr>
        <w:t xml:space="preserve"> </w:t>
      </w:r>
      <w:r w:rsidRPr="009A4F68">
        <w:rPr>
          <w:sz w:val="16"/>
          <w:szCs w:val="16"/>
          <w:lang w:eastAsia="en-GB"/>
        </w:rPr>
        <w:t xml:space="preserve">It is therefore proposed that a </w:t>
      </w:r>
      <w:r w:rsidR="00222B9D" w:rsidRPr="009A4F68">
        <w:rPr>
          <w:sz w:val="16"/>
          <w:szCs w:val="16"/>
          <w:lang w:eastAsia="en-GB"/>
        </w:rPr>
        <w:t xml:space="preserve">full access to the </w:t>
      </w:r>
      <w:r w:rsidR="009A4F68" w:rsidRPr="009A4F68">
        <w:rPr>
          <w:sz w:val="16"/>
          <w:szCs w:val="16"/>
          <w:lang w:eastAsia="en-GB"/>
        </w:rPr>
        <w:t>health record</w:t>
      </w:r>
      <w:r w:rsidRPr="009A4F68">
        <w:rPr>
          <w:sz w:val="16"/>
          <w:szCs w:val="16"/>
          <w:lang w:eastAsia="en-GB"/>
        </w:rPr>
        <w:t xml:space="preserve"> is required providing the opportunity for a wealth of information to be available and only retrieved when </w:t>
      </w:r>
      <w:r w:rsidRPr="009A4F68">
        <w:rPr>
          <w:b/>
          <w:i/>
          <w:sz w:val="16"/>
          <w:szCs w:val="16"/>
          <w:lang w:eastAsia="en-GB"/>
        </w:rPr>
        <w:t>necessary</w:t>
      </w:r>
      <w:r w:rsidRPr="009A4F68">
        <w:rPr>
          <w:sz w:val="16"/>
          <w:szCs w:val="16"/>
          <w:lang w:eastAsia="en-GB"/>
        </w:rPr>
        <w:t>. The ICO provides that it is possible to ‘</w:t>
      </w:r>
      <w:r w:rsidRPr="009A4F68">
        <w:rPr>
          <w:color w:val="0D0D0D"/>
          <w:sz w:val="16"/>
          <w:szCs w:val="16"/>
        </w:rPr>
        <w:t>hold information for a foreseeable event that may never occur if you can justify it’ and this appears to be an example of such a time.</w:t>
      </w:r>
    </w:p>
    <w:p w14:paraId="6E7BF157" w14:textId="60C85E52" w:rsidR="00CB3489" w:rsidRDefault="00CB34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B798" w14:textId="31E32C41" w:rsidR="00371C71" w:rsidRDefault="000A2D61" w:rsidP="00371C71">
    <w:pPr>
      <w:pStyle w:val="Header"/>
      <w:jc w:val="center"/>
    </w:pPr>
    <w:r>
      <w:rPr>
        <w:noProof/>
        <w:lang w:eastAsia="en-GB"/>
      </w:rPr>
      <w:drawing>
        <wp:inline distT="0" distB="0" distL="0" distR="0" wp14:anchorId="73259925" wp14:editId="016C3E84">
          <wp:extent cx="3810000" cy="1352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ffolk Fed.jpg"/>
                  <pic:cNvPicPr/>
                </pic:nvPicPr>
                <pic:blipFill rotWithShape="1">
                  <a:blip r:embed="rId1">
                    <a:extLst>
                      <a:ext uri="{28A0092B-C50C-407E-A947-70E740481C1C}">
                        <a14:useLocalDpi xmlns:a14="http://schemas.microsoft.com/office/drawing/2010/main" val="0"/>
                      </a:ext>
                    </a:extLst>
                  </a:blip>
                  <a:srcRect t="29296"/>
                  <a:stretch/>
                </pic:blipFill>
                <pic:spPr bwMode="auto">
                  <a:xfrm>
                    <a:off x="0" y="0"/>
                    <a:ext cx="3829797" cy="1359659"/>
                  </a:xfrm>
                  <a:prstGeom prst="rect">
                    <a:avLst/>
                  </a:prstGeom>
                  <a:ln>
                    <a:noFill/>
                  </a:ln>
                  <a:extLst>
                    <a:ext uri="{53640926-AAD7-44D8-BBD7-CCE9431645EC}">
                      <a14:shadowObscured xmlns:a14="http://schemas.microsoft.com/office/drawing/2010/main"/>
                    </a:ext>
                  </a:extLst>
                </pic:spPr>
              </pic:pic>
            </a:graphicData>
          </a:graphic>
        </wp:inline>
      </w:drawing>
    </w:r>
  </w:p>
  <w:p w14:paraId="02E2C26B" w14:textId="77777777" w:rsidR="00371C71" w:rsidRDefault="003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69D"/>
    <w:multiLevelType w:val="hybridMultilevel"/>
    <w:tmpl w:val="1312F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B4E9E"/>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72BED"/>
    <w:multiLevelType w:val="hybridMultilevel"/>
    <w:tmpl w:val="AB30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222633"/>
    <w:multiLevelType w:val="hybridMultilevel"/>
    <w:tmpl w:val="70EA3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ED00C4"/>
    <w:multiLevelType w:val="hybridMultilevel"/>
    <w:tmpl w:val="0DA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067C4"/>
    <w:multiLevelType w:val="hybridMultilevel"/>
    <w:tmpl w:val="44C242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97DDC"/>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40FBB"/>
    <w:multiLevelType w:val="hybridMultilevel"/>
    <w:tmpl w:val="4BD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C14B5"/>
    <w:multiLevelType w:val="hybridMultilevel"/>
    <w:tmpl w:val="45B6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90B40"/>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61561"/>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776BA"/>
    <w:multiLevelType w:val="hybridMultilevel"/>
    <w:tmpl w:val="2AE01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0831CE2"/>
    <w:multiLevelType w:val="hybridMultilevel"/>
    <w:tmpl w:val="EDA44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5B5FAF"/>
    <w:multiLevelType w:val="hybridMultilevel"/>
    <w:tmpl w:val="287A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A1DCA"/>
    <w:multiLevelType w:val="hybridMultilevel"/>
    <w:tmpl w:val="02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F2FF3"/>
    <w:multiLevelType w:val="hybridMultilevel"/>
    <w:tmpl w:val="950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E5393"/>
    <w:multiLevelType w:val="hybridMultilevel"/>
    <w:tmpl w:val="5AE0A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8"/>
  </w:num>
  <w:num w:numId="4">
    <w:abstractNumId w:val="10"/>
  </w:num>
  <w:num w:numId="5">
    <w:abstractNumId w:val="9"/>
  </w:num>
  <w:num w:numId="6">
    <w:abstractNumId w:val="1"/>
  </w:num>
  <w:num w:numId="7">
    <w:abstractNumId w:val="4"/>
  </w:num>
  <w:num w:numId="8">
    <w:abstractNumId w:val="13"/>
  </w:num>
  <w:num w:numId="9">
    <w:abstractNumId w:val="14"/>
  </w:num>
  <w:num w:numId="10">
    <w:abstractNumId w:val="6"/>
  </w:num>
  <w:num w:numId="11">
    <w:abstractNumId w:val="11"/>
  </w:num>
  <w:num w:numId="12">
    <w:abstractNumId w:val="7"/>
  </w:num>
  <w:num w:numId="13">
    <w:abstractNumId w:val="16"/>
  </w:num>
  <w:num w:numId="14">
    <w:abstractNumId w:val="2"/>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AA"/>
    <w:rsid w:val="00020AAC"/>
    <w:rsid w:val="00020ED9"/>
    <w:rsid w:val="00025412"/>
    <w:rsid w:val="00056F19"/>
    <w:rsid w:val="00076E93"/>
    <w:rsid w:val="00096592"/>
    <w:rsid w:val="000A17C4"/>
    <w:rsid w:val="000A2D61"/>
    <w:rsid w:val="000B20B6"/>
    <w:rsid w:val="000C5CF4"/>
    <w:rsid w:val="000F0BBD"/>
    <w:rsid w:val="000F2699"/>
    <w:rsid w:val="0010267B"/>
    <w:rsid w:val="001033B2"/>
    <w:rsid w:val="00124F79"/>
    <w:rsid w:val="00151426"/>
    <w:rsid w:val="00156336"/>
    <w:rsid w:val="0017600F"/>
    <w:rsid w:val="00187859"/>
    <w:rsid w:val="001878B4"/>
    <w:rsid w:val="00194B89"/>
    <w:rsid w:val="001B4257"/>
    <w:rsid w:val="001D5794"/>
    <w:rsid w:val="001F6F05"/>
    <w:rsid w:val="00200390"/>
    <w:rsid w:val="0021767D"/>
    <w:rsid w:val="00222B9D"/>
    <w:rsid w:val="0024147B"/>
    <w:rsid w:val="002664ED"/>
    <w:rsid w:val="002B3515"/>
    <w:rsid w:val="002D1D39"/>
    <w:rsid w:val="00306245"/>
    <w:rsid w:val="003360E4"/>
    <w:rsid w:val="00363092"/>
    <w:rsid w:val="00371C71"/>
    <w:rsid w:val="00375ACE"/>
    <w:rsid w:val="003761D3"/>
    <w:rsid w:val="003B5DE8"/>
    <w:rsid w:val="003E3345"/>
    <w:rsid w:val="003E3C60"/>
    <w:rsid w:val="003F72B6"/>
    <w:rsid w:val="00422DC7"/>
    <w:rsid w:val="00456CCF"/>
    <w:rsid w:val="00485812"/>
    <w:rsid w:val="004B0F2E"/>
    <w:rsid w:val="004B45D2"/>
    <w:rsid w:val="00503C7C"/>
    <w:rsid w:val="005476FE"/>
    <w:rsid w:val="00565D61"/>
    <w:rsid w:val="005948E7"/>
    <w:rsid w:val="005C7CC9"/>
    <w:rsid w:val="005D610D"/>
    <w:rsid w:val="005E2D7F"/>
    <w:rsid w:val="005F7976"/>
    <w:rsid w:val="0062620E"/>
    <w:rsid w:val="00626714"/>
    <w:rsid w:val="00645895"/>
    <w:rsid w:val="00656397"/>
    <w:rsid w:val="00672A52"/>
    <w:rsid w:val="0069054D"/>
    <w:rsid w:val="006B2A35"/>
    <w:rsid w:val="006D13C7"/>
    <w:rsid w:val="006D284C"/>
    <w:rsid w:val="00742EBB"/>
    <w:rsid w:val="00745FAD"/>
    <w:rsid w:val="00754E54"/>
    <w:rsid w:val="00764B49"/>
    <w:rsid w:val="00783A8B"/>
    <w:rsid w:val="007C0C03"/>
    <w:rsid w:val="007E795B"/>
    <w:rsid w:val="007F3DE0"/>
    <w:rsid w:val="00815BA0"/>
    <w:rsid w:val="00816C15"/>
    <w:rsid w:val="00857991"/>
    <w:rsid w:val="00866AA9"/>
    <w:rsid w:val="00882877"/>
    <w:rsid w:val="008A530D"/>
    <w:rsid w:val="008B0148"/>
    <w:rsid w:val="008E28FD"/>
    <w:rsid w:val="008F0A7F"/>
    <w:rsid w:val="008F1AAF"/>
    <w:rsid w:val="009074A8"/>
    <w:rsid w:val="0095054A"/>
    <w:rsid w:val="00957BD0"/>
    <w:rsid w:val="00967DCF"/>
    <w:rsid w:val="00980299"/>
    <w:rsid w:val="009A23F5"/>
    <w:rsid w:val="009A2A1E"/>
    <w:rsid w:val="009A4F68"/>
    <w:rsid w:val="009B040F"/>
    <w:rsid w:val="009B447D"/>
    <w:rsid w:val="009D6A44"/>
    <w:rsid w:val="009F7B2F"/>
    <w:rsid w:val="00A12D16"/>
    <w:rsid w:val="00A23420"/>
    <w:rsid w:val="00A25C9F"/>
    <w:rsid w:val="00A318B7"/>
    <w:rsid w:val="00AF39C7"/>
    <w:rsid w:val="00AF5C3E"/>
    <w:rsid w:val="00B23372"/>
    <w:rsid w:val="00B274DA"/>
    <w:rsid w:val="00B626D7"/>
    <w:rsid w:val="00B83221"/>
    <w:rsid w:val="00B9636D"/>
    <w:rsid w:val="00BC2371"/>
    <w:rsid w:val="00BF20BD"/>
    <w:rsid w:val="00BF41AE"/>
    <w:rsid w:val="00C33BC7"/>
    <w:rsid w:val="00C36A88"/>
    <w:rsid w:val="00C4327E"/>
    <w:rsid w:val="00C81417"/>
    <w:rsid w:val="00C94B7F"/>
    <w:rsid w:val="00C96EB5"/>
    <w:rsid w:val="00CA6099"/>
    <w:rsid w:val="00CB3489"/>
    <w:rsid w:val="00CB6572"/>
    <w:rsid w:val="00CB69A8"/>
    <w:rsid w:val="00CF757F"/>
    <w:rsid w:val="00D36797"/>
    <w:rsid w:val="00D43221"/>
    <w:rsid w:val="00D4670D"/>
    <w:rsid w:val="00D63CA1"/>
    <w:rsid w:val="00D65664"/>
    <w:rsid w:val="00D962D2"/>
    <w:rsid w:val="00DB4CB9"/>
    <w:rsid w:val="00DE1E47"/>
    <w:rsid w:val="00DF57DC"/>
    <w:rsid w:val="00E117CC"/>
    <w:rsid w:val="00E35B9C"/>
    <w:rsid w:val="00E71081"/>
    <w:rsid w:val="00E76214"/>
    <w:rsid w:val="00E77731"/>
    <w:rsid w:val="00E809FD"/>
    <w:rsid w:val="00EC28E4"/>
    <w:rsid w:val="00F408D7"/>
    <w:rsid w:val="00F55069"/>
    <w:rsid w:val="00F62B35"/>
    <w:rsid w:val="00F65EDD"/>
    <w:rsid w:val="00F677E2"/>
    <w:rsid w:val="00F820AA"/>
    <w:rsid w:val="00FE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CDAB7"/>
  <w15:docId w15:val="{34C1EA34-7063-4982-B17F-8784C5D2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AA"/>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F820AA"/>
    <w:pPr>
      <w:keepNext/>
      <w:jc w:val="both"/>
      <w:outlineLvl w:val="1"/>
    </w:pPr>
    <w:rPr>
      <w:bCs/>
      <w:color w:val="4472C4"/>
      <w:sz w:val="28"/>
    </w:rPr>
  </w:style>
  <w:style w:type="paragraph" w:styleId="Heading3">
    <w:name w:val="heading 3"/>
    <w:basedOn w:val="Normal"/>
    <w:next w:val="Normal"/>
    <w:link w:val="Heading3Char"/>
    <w:uiPriority w:val="9"/>
    <w:semiHidden/>
    <w:unhideWhenUsed/>
    <w:qFormat/>
    <w:rsid w:val="0018785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0AA"/>
    <w:rPr>
      <w:rFonts w:ascii="Arial Nova Light" w:eastAsia="Times New Roman" w:hAnsi="Arial Nova Light" w:cs="Times New Roman"/>
      <w:bCs/>
      <w:color w:val="4472C4"/>
      <w:sz w:val="28"/>
      <w:szCs w:val="24"/>
    </w:rPr>
  </w:style>
  <w:style w:type="character" w:styleId="Hyperlink">
    <w:name w:val="Hyperlink"/>
    <w:uiPriority w:val="99"/>
    <w:rsid w:val="00F820AA"/>
    <w:rPr>
      <w:color w:val="0000FF"/>
      <w:u w:val="single"/>
    </w:rPr>
  </w:style>
  <w:style w:type="paragraph" w:customStyle="1" w:styleId="Default">
    <w:name w:val="Default"/>
    <w:rsid w:val="008E28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8E28FD"/>
    <w:pPr>
      <w:ind w:left="720"/>
      <w:contextualSpacing/>
    </w:pPr>
  </w:style>
  <w:style w:type="table" w:styleId="TableGrid">
    <w:name w:val="Table Grid"/>
    <w:basedOn w:val="TableNormal"/>
    <w:uiPriority w:val="39"/>
    <w:rsid w:val="005F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84C"/>
    <w:rPr>
      <w:sz w:val="16"/>
      <w:szCs w:val="16"/>
    </w:rPr>
  </w:style>
  <w:style w:type="paragraph" w:styleId="CommentText">
    <w:name w:val="annotation text"/>
    <w:basedOn w:val="Normal"/>
    <w:link w:val="CommentTextChar"/>
    <w:uiPriority w:val="99"/>
    <w:semiHidden/>
    <w:unhideWhenUsed/>
    <w:rsid w:val="006D284C"/>
    <w:pPr>
      <w:spacing w:line="240" w:lineRule="auto"/>
    </w:pPr>
    <w:rPr>
      <w:sz w:val="20"/>
      <w:szCs w:val="20"/>
    </w:rPr>
  </w:style>
  <w:style w:type="character" w:customStyle="1" w:styleId="CommentTextChar">
    <w:name w:val="Comment Text Char"/>
    <w:basedOn w:val="DefaultParagraphFont"/>
    <w:link w:val="CommentText"/>
    <w:uiPriority w:val="99"/>
    <w:semiHidden/>
    <w:rsid w:val="006D284C"/>
    <w:rPr>
      <w:rFonts w:ascii="Arial Nova Light" w:eastAsia="Times New Roman" w:hAnsi="Arial Nova Light" w:cs="Times New Roman"/>
      <w:sz w:val="20"/>
      <w:szCs w:val="20"/>
    </w:rPr>
  </w:style>
  <w:style w:type="paragraph" w:styleId="CommentSubject">
    <w:name w:val="annotation subject"/>
    <w:basedOn w:val="CommentText"/>
    <w:next w:val="CommentText"/>
    <w:link w:val="CommentSubjectChar"/>
    <w:uiPriority w:val="99"/>
    <w:semiHidden/>
    <w:unhideWhenUsed/>
    <w:rsid w:val="006D284C"/>
    <w:rPr>
      <w:b/>
      <w:bCs/>
    </w:rPr>
  </w:style>
  <w:style w:type="character" w:customStyle="1" w:styleId="CommentSubjectChar">
    <w:name w:val="Comment Subject Char"/>
    <w:basedOn w:val="CommentTextChar"/>
    <w:link w:val="CommentSubject"/>
    <w:uiPriority w:val="99"/>
    <w:semiHidden/>
    <w:rsid w:val="006D284C"/>
    <w:rPr>
      <w:rFonts w:ascii="Arial Nova Light" w:eastAsia="Times New Roman" w:hAnsi="Arial Nova Light" w:cs="Times New Roman"/>
      <w:b/>
      <w:bCs/>
      <w:sz w:val="20"/>
      <w:szCs w:val="20"/>
    </w:rPr>
  </w:style>
  <w:style w:type="paragraph" w:styleId="BalloonText">
    <w:name w:val="Balloon Text"/>
    <w:basedOn w:val="Normal"/>
    <w:link w:val="BalloonTextChar"/>
    <w:uiPriority w:val="99"/>
    <w:semiHidden/>
    <w:unhideWhenUsed/>
    <w:rsid w:val="006D28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4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4B89"/>
    <w:rPr>
      <w:color w:val="605E5C"/>
      <w:shd w:val="clear" w:color="auto" w:fill="E1DFDD"/>
    </w:rPr>
  </w:style>
  <w:style w:type="paragraph" w:styleId="Header">
    <w:name w:val="header"/>
    <w:basedOn w:val="Normal"/>
    <w:link w:val="HeaderChar"/>
    <w:uiPriority w:val="99"/>
    <w:unhideWhenUsed/>
    <w:rsid w:val="00371C71"/>
    <w:pPr>
      <w:tabs>
        <w:tab w:val="center" w:pos="4513"/>
        <w:tab w:val="right" w:pos="9026"/>
      </w:tabs>
      <w:spacing w:line="240" w:lineRule="auto"/>
    </w:pPr>
  </w:style>
  <w:style w:type="character" w:customStyle="1" w:styleId="HeaderChar">
    <w:name w:val="Header Char"/>
    <w:basedOn w:val="DefaultParagraphFont"/>
    <w:link w:val="Header"/>
    <w:uiPriority w:val="99"/>
    <w:rsid w:val="00371C71"/>
    <w:rPr>
      <w:rFonts w:ascii="Arial Nova Light" w:eastAsia="Times New Roman" w:hAnsi="Arial Nova Light" w:cs="Times New Roman"/>
      <w:szCs w:val="24"/>
    </w:rPr>
  </w:style>
  <w:style w:type="paragraph" w:styleId="Footer">
    <w:name w:val="footer"/>
    <w:basedOn w:val="Normal"/>
    <w:link w:val="FooterChar"/>
    <w:uiPriority w:val="99"/>
    <w:unhideWhenUsed/>
    <w:rsid w:val="00371C71"/>
    <w:pPr>
      <w:tabs>
        <w:tab w:val="center" w:pos="4513"/>
        <w:tab w:val="right" w:pos="9026"/>
      </w:tabs>
      <w:spacing w:line="240" w:lineRule="auto"/>
    </w:pPr>
  </w:style>
  <w:style w:type="character" w:customStyle="1" w:styleId="FooterChar">
    <w:name w:val="Footer Char"/>
    <w:basedOn w:val="DefaultParagraphFont"/>
    <w:link w:val="Footer"/>
    <w:uiPriority w:val="99"/>
    <w:rsid w:val="00371C71"/>
    <w:rPr>
      <w:rFonts w:ascii="Arial Nova Light" w:eastAsia="Times New Roman" w:hAnsi="Arial Nova Light" w:cs="Times New Roman"/>
      <w:szCs w:val="24"/>
    </w:rPr>
  </w:style>
  <w:style w:type="paragraph" w:styleId="FootnoteText">
    <w:name w:val="footnote text"/>
    <w:basedOn w:val="Normal"/>
    <w:link w:val="FootnoteTextChar"/>
    <w:uiPriority w:val="99"/>
    <w:semiHidden/>
    <w:unhideWhenUsed/>
    <w:rsid w:val="00CB3489"/>
    <w:pPr>
      <w:spacing w:line="240" w:lineRule="auto"/>
    </w:pPr>
    <w:rPr>
      <w:sz w:val="20"/>
      <w:szCs w:val="20"/>
    </w:rPr>
  </w:style>
  <w:style w:type="character" w:customStyle="1" w:styleId="FootnoteTextChar">
    <w:name w:val="Footnote Text Char"/>
    <w:basedOn w:val="DefaultParagraphFont"/>
    <w:link w:val="FootnoteText"/>
    <w:uiPriority w:val="99"/>
    <w:semiHidden/>
    <w:rsid w:val="00CB3489"/>
    <w:rPr>
      <w:rFonts w:ascii="Arial Nova Light" w:eastAsia="Times New Roman" w:hAnsi="Arial Nova Light" w:cs="Times New Roman"/>
      <w:sz w:val="20"/>
      <w:szCs w:val="20"/>
    </w:rPr>
  </w:style>
  <w:style w:type="character" w:styleId="FootnoteReference">
    <w:name w:val="footnote reference"/>
    <w:basedOn w:val="DefaultParagraphFont"/>
    <w:uiPriority w:val="99"/>
    <w:semiHidden/>
    <w:unhideWhenUsed/>
    <w:rsid w:val="00CB3489"/>
    <w:rPr>
      <w:vertAlign w:val="superscript"/>
    </w:rPr>
  </w:style>
  <w:style w:type="character" w:customStyle="1" w:styleId="ListParagraphChar">
    <w:name w:val="List Paragraph Char"/>
    <w:link w:val="ListParagraph"/>
    <w:uiPriority w:val="34"/>
    <w:rsid w:val="00957BD0"/>
    <w:rPr>
      <w:rFonts w:ascii="Arial Nova Light" w:eastAsia="Times New Roman" w:hAnsi="Arial Nova Light" w:cs="Times New Roman"/>
      <w:szCs w:val="24"/>
    </w:rPr>
  </w:style>
  <w:style w:type="character" w:customStyle="1" w:styleId="Heading3Char">
    <w:name w:val="Heading 3 Char"/>
    <w:basedOn w:val="DefaultParagraphFont"/>
    <w:link w:val="Heading3"/>
    <w:uiPriority w:val="9"/>
    <w:semiHidden/>
    <w:rsid w:val="0018785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87859"/>
    <w:rPr>
      <w:b/>
      <w:bCs/>
    </w:rPr>
  </w:style>
  <w:style w:type="paragraph" w:styleId="NormalWeb">
    <w:name w:val="Normal (Web)"/>
    <w:basedOn w:val="Normal"/>
    <w:uiPriority w:val="99"/>
    <w:semiHidden/>
    <w:unhideWhenUsed/>
    <w:rsid w:val="00187859"/>
    <w:pPr>
      <w:spacing w:before="100" w:beforeAutospacing="1" w:after="100" w:afterAutospacing="1" w:line="240" w:lineRule="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3657">
      <w:bodyDiv w:val="1"/>
      <w:marLeft w:val="0"/>
      <w:marRight w:val="0"/>
      <w:marTop w:val="0"/>
      <w:marBottom w:val="0"/>
      <w:divBdr>
        <w:top w:val="none" w:sz="0" w:space="0" w:color="auto"/>
        <w:left w:val="none" w:sz="0" w:space="0" w:color="auto"/>
        <w:bottom w:val="none" w:sz="0" w:space="0" w:color="auto"/>
        <w:right w:val="none" w:sz="0" w:space="0" w:color="auto"/>
      </w:divBdr>
    </w:div>
    <w:div w:id="658919864">
      <w:bodyDiv w:val="1"/>
      <w:marLeft w:val="0"/>
      <w:marRight w:val="0"/>
      <w:marTop w:val="0"/>
      <w:marBottom w:val="0"/>
      <w:divBdr>
        <w:top w:val="none" w:sz="0" w:space="0" w:color="auto"/>
        <w:left w:val="none" w:sz="0" w:space="0" w:color="auto"/>
        <w:bottom w:val="none" w:sz="0" w:space="0" w:color="auto"/>
        <w:right w:val="none" w:sz="0" w:space="0" w:color="auto"/>
      </w:divBdr>
    </w:div>
    <w:div w:id="855851880">
      <w:bodyDiv w:val="1"/>
      <w:marLeft w:val="0"/>
      <w:marRight w:val="0"/>
      <w:marTop w:val="0"/>
      <w:marBottom w:val="0"/>
      <w:divBdr>
        <w:top w:val="none" w:sz="0" w:space="0" w:color="auto"/>
        <w:left w:val="none" w:sz="0" w:space="0" w:color="auto"/>
        <w:bottom w:val="none" w:sz="0" w:space="0" w:color="auto"/>
        <w:right w:val="none" w:sz="0" w:space="0" w:color="auto"/>
      </w:divBdr>
    </w:div>
    <w:div w:id="949505573">
      <w:bodyDiv w:val="1"/>
      <w:marLeft w:val="0"/>
      <w:marRight w:val="0"/>
      <w:marTop w:val="0"/>
      <w:marBottom w:val="0"/>
      <w:divBdr>
        <w:top w:val="none" w:sz="0" w:space="0" w:color="auto"/>
        <w:left w:val="none" w:sz="0" w:space="0" w:color="auto"/>
        <w:bottom w:val="none" w:sz="0" w:space="0" w:color="auto"/>
        <w:right w:val="none" w:sz="0" w:space="0" w:color="auto"/>
      </w:divBdr>
    </w:div>
    <w:div w:id="1476947597">
      <w:bodyDiv w:val="1"/>
      <w:marLeft w:val="0"/>
      <w:marRight w:val="0"/>
      <w:marTop w:val="0"/>
      <w:marBottom w:val="0"/>
      <w:divBdr>
        <w:top w:val="none" w:sz="0" w:space="0" w:color="auto"/>
        <w:left w:val="none" w:sz="0" w:space="0" w:color="auto"/>
        <w:bottom w:val="none" w:sz="0" w:space="0" w:color="auto"/>
        <w:right w:val="none" w:sz="0" w:space="0" w:color="auto"/>
      </w:divBdr>
    </w:div>
    <w:div w:id="21239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4DBF-F9B5-4CA7-9EC5-D04D0F29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1154D-7C3C-4C05-BCD5-1B7CAE16357A}">
  <ds:schemaRefs>
    <ds:schemaRef ds:uri="http://schemas.microsoft.com/sharepoint/v3/contenttype/forms"/>
  </ds:schemaRefs>
</ds:datastoreItem>
</file>

<file path=customXml/itemProps3.xml><?xml version="1.0" encoding="utf-8"?>
<ds:datastoreItem xmlns:ds="http://schemas.openxmlformats.org/officeDocument/2006/customXml" ds:itemID="{7BEDC418-59D3-4648-9784-549F5F217101}">
  <ds:schemaRefs>
    <ds:schemaRef ds:uri="http://purl.org/dc/terms/"/>
    <ds:schemaRef ds:uri="http://schemas.microsoft.com/office/2006/documentManagement/types"/>
    <ds:schemaRef ds:uri="http://www.w3.org/XML/1998/namespace"/>
    <ds:schemaRef ds:uri="http://purl.org/dc/elements/1.1/"/>
    <ds:schemaRef ds:uri="a11c238e-41a3-44e2-9dcc-7cb7fc62ce2c"/>
    <ds:schemaRef ds:uri="http://schemas.microsoft.com/office/2006/metadata/properties"/>
    <ds:schemaRef ds:uri="7d82fa51-ae70-4e3d-a9d0-509eb1a44f5f"/>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76A72AC-AF0B-474B-B3F9-FE2A1EB0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Emma Cooper</cp:lastModifiedBy>
  <cp:revision>9</cp:revision>
  <cp:lastPrinted>2019-01-03T10:53:00Z</cp:lastPrinted>
  <dcterms:created xsi:type="dcterms:W3CDTF">2019-08-09T06:54:00Z</dcterms:created>
  <dcterms:modified xsi:type="dcterms:W3CDTF">2019-08-09T07:04:00Z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