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F11E" w14:textId="69418B50" w:rsidR="000F4B31" w:rsidRDefault="1B399178" w:rsidP="1B399178">
      <w:pPr>
        <w:pStyle w:val="NoSpacing"/>
        <w:ind w:firstLine="720"/>
      </w:pPr>
      <w:r>
        <w:t>Information / Cyber Security Protocol</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16BDFB82" w:rsidR="00B94E5A" w:rsidRPr="00B94E5A" w:rsidRDefault="00D22621" w:rsidP="00B94E5A">
            <w:pPr>
              <w:rPr>
                <w:b w:val="0"/>
              </w:rPr>
            </w:pPr>
            <w:r>
              <w:rPr>
                <w:b w:val="0"/>
              </w:rPr>
              <w:t xml:space="preserve">Information </w:t>
            </w:r>
            <w:r w:rsidR="003D5CF6">
              <w:rPr>
                <w:b w:val="0"/>
              </w:rPr>
              <w:t>/ Cyber Security</w:t>
            </w:r>
            <w:r w:rsidR="00A97311">
              <w:rPr>
                <w:b w:val="0"/>
              </w:rPr>
              <w:t xml:space="preserve"> Protocol</w:t>
            </w:r>
          </w:p>
        </w:tc>
        <w:tc>
          <w:tcPr>
            <w:tcW w:w="3005" w:type="dxa"/>
          </w:tcPr>
          <w:p w14:paraId="68BC7C2E" w14:textId="3BBF827D" w:rsidR="00B94E5A" w:rsidRDefault="00A069BD"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6412EC80" w:rsidR="00B94E5A" w:rsidRDefault="003D5E68" w:rsidP="00B94E5A">
            <w:pPr>
              <w:cnfStyle w:val="000000100000" w:firstRow="0" w:lastRow="0" w:firstColumn="0" w:lastColumn="0" w:oddVBand="0" w:evenVBand="0" w:oddHBand="1" w:evenHBand="0" w:firstRowFirstColumn="0" w:firstRowLastColumn="0" w:lastRowFirstColumn="0" w:lastRowLastColumn="0"/>
            </w:pPr>
            <w:r>
              <w:t>Senior Information Risk Owner</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930"/>
        <w:gridCol w:w="2340"/>
        <w:gridCol w:w="5746"/>
      </w:tblGrid>
      <w:tr w:rsidR="00B94E5A" w14:paraId="431D79A0" w14:textId="77777777" w:rsidTr="32A5F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14:paraId="7332AA37" w14:textId="77777777" w:rsidR="00B94E5A" w:rsidRDefault="00B94E5A" w:rsidP="00B94E5A">
            <w:r>
              <w:t>Version</w:t>
            </w:r>
          </w:p>
        </w:tc>
        <w:tc>
          <w:tcPr>
            <w:tcW w:w="2340"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574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32A5F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14:paraId="5CCFCFC8" w14:textId="77777777" w:rsidR="00B94E5A" w:rsidRPr="00177EED" w:rsidRDefault="32A5F726" w:rsidP="00B94E5A">
            <w:pPr>
              <w:rPr>
                <w:b w:val="0"/>
                <w:bCs w:val="0"/>
                <w:sz w:val="18"/>
                <w:szCs w:val="18"/>
              </w:rPr>
            </w:pPr>
            <w:r w:rsidRPr="32A5F726">
              <w:rPr>
                <w:b w:val="0"/>
                <w:bCs w:val="0"/>
                <w:sz w:val="18"/>
                <w:szCs w:val="18"/>
              </w:rPr>
              <w:t>1</w:t>
            </w:r>
          </w:p>
        </w:tc>
        <w:tc>
          <w:tcPr>
            <w:tcW w:w="2340" w:type="dxa"/>
          </w:tcPr>
          <w:p w14:paraId="2B6311A3" w14:textId="65B17F89" w:rsidR="00B94E5A" w:rsidRPr="00177EED" w:rsidRDefault="32A5F726" w:rsidP="00B94E5A">
            <w:pPr>
              <w:cnfStyle w:val="000000100000" w:firstRow="0" w:lastRow="0" w:firstColumn="0" w:lastColumn="0" w:oddVBand="0" w:evenVBand="0" w:oddHBand="1" w:evenHBand="0" w:firstRowFirstColumn="0" w:firstRowLastColumn="0" w:lastRowFirstColumn="0" w:lastRowLastColumn="0"/>
              <w:rPr>
                <w:sz w:val="18"/>
                <w:szCs w:val="18"/>
              </w:rPr>
            </w:pPr>
            <w:r w:rsidRPr="32A5F726">
              <w:rPr>
                <w:sz w:val="18"/>
                <w:szCs w:val="18"/>
              </w:rPr>
              <w:t>Emma Cooper, Kafico Ltd - DPO</w:t>
            </w:r>
          </w:p>
        </w:tc>
        <w:tc>
          <w:tcPr>
            <w:tcW w:w="5746" w:type="dxa"/>
          </w:tcPr>
          <w:p w14:paraId="12A855DC" w14:textId="77777777" w:rsidR="00B94E5A" w:rsidRPr="00177EED" w:rsidRDefault="32A5F726" w:rsidP="00B94E5A">
            <w:pPr>
              <w:cnfStyle w:val="000000100000" w:firstRow="0" w:lastRow="0" w:firstColumn="0" w:lastColumn="0" w:oddVBand="0" w:evenVBand="0" w:oddHBand="1" w:evenHBand="0" w:firstRowFirstColumn="0" w:firstRowLastColumn="0" w:lastRowFirstColumn="0" w:lastRowLastColumn="0"/>
              <w:rPr>
                <w:sz w:val="18"/>
                <w:szCs w:val="18"/>
              </w:rPr>
            </w:pPr>
            <w:r w:rsidRPr="32A5F726">
              <w:rPr>
                <w:sz w:val="18"/>
                <w:szCs w:val="18"/>
              </w:rPr>
              <w:t>New Draft</w:t>
            </w:r>
          </w:p>
        </w:tc>
      </w:tr>
      <w:tr w:rsidR="00177EED" w14:paraId="4F125AAB" w14:textId="77777777" w:rsidTr="32A5F726">
        <w:tc>
          <w:tcPr>
            <w:cnfStyle w:val="001000000000" w:firstRow="0" w:lastRow="0" w:firstColumn="1" w:lastColumn="0" w:oddVBand="0" w:evenVBand="0" w:oddHBand="0" w:evenHBand="0" w:firstRowFirstColumn="0" w:firstRowLastColumn="0" w:lastRowFirstColumn="0" w:lastRowLastColumn="0"/>
            <w:tcW w:w="930" w:type="dxa"/>
          </w:tcPr>
          <w:p w14:paraId="1D5F4FEE" w14:textId="1AA8FE58" w:rsidR="00177EED" w:rsidRPr="00177EED" w:rsidRDefault="32A5F726" w:rsidP="00177EED">
            <w:pPr>
              <w:rPr>
                <w:b w:val="0"/>
                <w:bCs w:val="0"/>
                <w:sz w:val="18"/>
                <w:szCs w:val="18"/>
              </w:rPr>
            </w:pPr>
            <w:r w:rsidRPr="32A5F726">
              <w:rPr>
                <w:b w:val="0"/>
                <w:bCs w:val="0"/>
                <w:sz w:val="18"/>
                <w:szCs w:val="18"/>
              </w:rPr>
              <w:t>1.1</w:t>
            </w:r>
          </w:p>
        </w:tc>
        <w:tc>
          <w:tcPr>
            <w:tcW w:w="2340" w:type="dxa"/>
          </w:tcPr>
          <w:p w14:paraId="3770B916" w14:textId="3D2AC36B" w:rsidR="00177EED" w:rsidRPr="00177EED" w:rsidRDefault="32A5F726" w:rsidP="32A5F726">
            <w:pPr>
              <w:cnfStyle w:val="000000000000" w:firstRow="0" w:lastRow="0" w:firstColumn="0" w:lastColumn="0" w:oddVBand="0" w:evenVBand="0" w:oddHBand="0" w:evenHBand="0" w:firstRowFirstColumn="0" w:firstRowLastColumn="0" w:lastRowFirstColumn="0" w:lastRowLastColumn="0"/>
              <w:rPr>
                <w:sz w:val="18"/>
                <w:szCs w:val="18"/>
              </w:rPr>
            </w:pPr>
            <w:r w:rsidRPr="32A5F726">
              <w:rPr>
                <w:sz w:val="18"/>
                <w:szCs w:val="18"/>
              </w:rPr>
              <w:t>Emma Cooper, Kafico Ltd - DPO</w:t>
            </w:r>
          </w:p>
          <w:p w14:paraId="6C8A2E28" w14:textId="499A6822" w:rsidR="00177EED" w:rsidRPr="00177EED" w:rsidRDefault="00177EED" w:rsidP="32A5F726">
            <w:pPr>
              <w:cnfStyle w:val="000000000000" w:firstRow="0" w:lastRow="0" w:firstColumn="0" w:lastColumn="0" w:oddVBand="0" w:evenVBand="0" w:oddHBand="0" w:evenHBand="0" w:firstRowFirstColumn="0" w:firstRowLastColumn="0" w:lastRowFirstColumn="0" w:lastRowLastColumn="0"/>
              <w:rPr>
                <w:sz w:val="18"/>
                <w:szCs w:val="18"/>
              </w:rPr>
            </w:pPr>
          </w:p>
        </w:tc>
        <w:tc>
          <w:tcPr>
            <w:tcW w:w="5746" w:type="dxa"/>
          </w:tcPr>
          <w:p w14:paraId="0C19A66D" w14:textId="0274E92C" w:rsidR="00177EED" w:rsidRPr="00177EED" w:rsidRDefault="32A5F726" w:rsidP="00177EED">
            <w:pPr>
              <w:cnfStyle w:val="000000000000" w:firstRow="0" w:lastRow="0" w:firstColumn="0" w:lastColumn="0" w:oddVBand="0" w:evenVBand="0" w:oddHBand="0" w:evenHBand="0" w:firstRowFirstColumn="0" w:firstRowLastColumn="0" w:lastRowFirstColumn="0" w:lastRowLastColumn="0"/>
              <w:rPr>
                <w:sz w:val="18"/>
                <w:szCs w:val="18"/>
              </w:rPr>
            </w:pPr>
            <w:r w:rsidRPr="32A5F726">
              <w:rPr>
                <w:sz w:val="18"/>
                <w:szCs w:val="18"/>
              </w:rPr>
              <w:t>Jan 2019 Replaced 1998 DPA with 2018 Act. Replaced GDPR with “data protection legislation”.</w:t>
            </w:r>
          </w:p>
        </w:tc>
      </w:tr>
      <w:tr w:rsidR="1B399178" w14:paraId="5E5DF7E4" w14:textId="77777777" w:rsidTr="32A5F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14:paraId="03A64063" w14:textId="6B0C65AE" w:rsidR="1B399178" w:rsidRDefault="32A5F726" w:rsidP="1B399178">
            <w:pPr>
              <w:rPr>
                <w:b w:val="0"/>
                <w:bCs w:val="0"/>
                <w:sz w:val="18"/>
                <w:szCs w:val="18"/>
              </w:rPr>
            </w:pPr>
            <w:r w:rsidRPr="32A5F726">
              <w:rPr>
                <w:b w:val="0"/>
                <w:bCs w:val="0"/>
                <w:sz w:val="18"/>
                <w:szCs w:val="18"/>
              </w:rPr>
              <w:t>1.1</w:t>
            </w:r>
          </w:p>
        </w:tc>
        <w:tc>
          <w:tcPr>
            <w:tcW w:w="2340" w:type="dxa"/>
          </w:tcPr>
          <w:p w14:paraId="097533C9" w14:textId="594A33A7" w:rsidR="1B399178" w:rsidRDefault="32A5F726" w:rsidP="32A5F726">
            <w:pPr>
              <w:cnfStyle w:val="000000100000" w:firstRow="0" w:lastRow="0" w:firstColumn="0" w:lastColumn="0" w:oddVBand="0" w:evenVBand="0" w:oddHBand="1" w:evenHBand="0" w:firstRowFirstColumn="0" w:firstRowLastColumn="0" w:lastRowFirstColumn="0" w:lastRowLastColumn="0"/>
              <w:rPr>
                <w:sz w:val="18"/>
                <w:szCs w:val="18"/>
              </w:rPr>
            </w:pPr>
            <w:r w:rsidRPr="32A5F726">
              <w:rPr>
                <w:sz w:val="18"/>
                <w:szCs w:val="18"/>
              </w:rPr>
              <w:t xml:space="preserve">Emma Cooper, Kafico Ltd </w:t>
            </w:r>
            <w:r w:rsidR="002749D6">
              <w:rPr>
                <w:sz w:val="18"/>
                <w:szCs w:val="18"/>
              </w:rPr>
              <w:t>–</w:t>
            </w:r>
            <w:r w:rsidRPr="32A5F726">
              <w:rPr>
                <w:sz w:val="18"/>
                <w:szCs w:val="18"/>
              </w:rPr>
              <w:t xml:space="preserve"> DPO</w:t>
            </w:r>
          </w:p>
        </w:tc>
        <w:tc>
          <w:tcPr>
            <w:tcW w:w="5746" w:type="dxa"/>
          </w:tcPr>
          <w:p w14:paraId="19F8206B" w14:textId="31317EBF" w:rsidR="1B399178" w:rsidRDefault="32A5F726" w:rsidP="32A5F726">
            <w:pPr>
              <w:cnfStyle w:val="000000100000" w:firstRow="0" w:lastRow="0" w:firstColumn="0" w:lastColumn="0" w:oddVBand="0" w:evenVBand="0" w:oddHBand="1" w:evenHBand="0" w:firstRowFirstColumn="0" w:firstRowLastColumn="0" w:lastRowFirstColumn="0" w:lastRowLastColumn="0"/>
              <w:rPr>
                <w:rFonts w:eastAsia="Arial Nova Light" w:cs="Arial Nova Light"/>
                <w:sz w:val="18"/>
                <w:szCs w:val="18"/>
              </w:rPr>
            </w:pPr>
            <w:r w:rsidRPr="32A5F726">
              <w:rPr>
                <w:rFonts w:eastAsia="Arial Nova Light" w:cs="Arial Nova Light"/>
                <w:sz w:val="18"/>
                <w:szCs w:val="18"/>
              </w:rPr>
              <w:t>Jan / Feb 20 – Annual review – no amendments</w:t>
            </w:r>
          </w:p>
        </w:tc>
      </w:tr>
      <w:tr w:rsidR="002749D6" w14:paraId="227AFB8C" w14:textId="77777777" w:rsidTr="32A5F726">
        <w:tc>
          <w:tcPr>
            <w:cnfStyle w:val="001000000000" w:firstRow="0" w:lastRow="0" w:firstColumn="1" w:lastColumn="0" w:oddVBand="0" w:evenVBand="0" w:oddHBand="0" w:evenHBand="0" w:firstRowFirstColumn="0" w:firstRowLastColumn="0" w:lastRowFirstColumn="0" w:lastRowLastColumn="0"/>
            <w:tcW w:w="930" w:type="dxa"/>
          </w:tcPr>
          <w:p w14:paraId="5BDF9A22" w14:textId="28EF9A4D" w:rsidR="002749D6" w:rsidRPr="32A5F726" w:rsidRDefault="002749D6" w:rsidP="1B399178">
            <w:pPr>
              <w:rPr>
                <w:sz w:val="18"/>
                <w:szCs w:val="18"/>
              </w:rPr>
            </w:pPr>
            <w:r>
              <w:rPr>
                <w:sz w:val="18"/>
                <w:szCs w:val="18"/>
              </w:rPr>
              <w:t>1.2</w:t>
            </w:r>
          </w:p>
        </w:tc>
        <w:tc>
          <w:tcPr>
            <w:tcW w:w="2340" w:type="dxa"/>
          </w:tcPr>
          <w:p w14:paraId="2C28FAAC" w14:textId="7F94A95A" w:rsidR="002749D6" w:rsidRPr="32A5F726" w:rsidRDefault="002749D6" w:rsidP="32A5F726">
            <w:pPr>
              <w:cnfStyle w:val="000000000000" w:firstRow="0" w:lastRow="0" w:firstColumn="0" w:lastColumn="0" w:oddVBand="0" w:evenVBand="0" w:oddHBand="0" w:evenHBand="0" w:firstRowFirstColumn="0" w:firstRowLastColumn="0" w:lastRowFirstColumn="0" w:lastRowLastColumn="0"/>
              <w:rPr>
                <w:sz w:val="18"/>
                <w:szCs w:val="18"/>
              </w:rPr>
            </w:pPr>
            <w:r w:rsidRPr="32A5F726">
              <w:rPr>
                <w:sz w:val="18"/>
                <w:szCs w:val="18"/>
              </w:rPr>
              <w:t xml:space="preserve">Emma Cooper, Kafico Ltd </w:t>
            </w:r>
            <w:r>
              <w:rPr>
                <w:sz w:val="18"/>
                <w:szCs w:val="18"/>
              </w:rPr>
              <w:t>–</w:t>
            </w:r>
            <w:r w:rsidRPr="32A5F726">
              <w:rPr>
                <w:sz w:val="18"/>
                <w:szCs w:val="18"/>
              </w:rPr>
              <w:t xml:space="preserve"> DPO</w:t>
            </w:r>
          </w:p>
        </w:tc>
        <w:tc>
          <w:tcPr>
            <w:tcW w:w="5746" w:type="dxa"/>
          </w:tcPr>
          <w:p w14:paraId="3B2556AD" w14:textId="0D6E57F9" w:rsidR="002749D6" w:rsidRPr="32A5F726" w:rsidRDefault="002749D6" w:rsidP="32A5F726">
            <w:pPr>
              <w:cnfStyle w:val="000000000000" w:firstRow="0" w:lastRow="0" w:firstColumn="0" w:lastColumn="0" w:oddVBand="0" w:evenVBand="0" w:oddHBand="0" w:evenHBand="0" w:firstRowFirstColumn="0" w:firstRowLastColumn="0" w:lastRowFirstColumn="0" w:lastRowLastColumn="0"/>
              <w:rPr>
                <w:rFonts w:eastAsia="Arial Nova Light" w:cs="Arial Nova Light"/>
                <w:sz w:val="18"/>
                <w:szCs w:val="18"/>
              </w:rPr>
            </w:pPr>
            <w:r>
              <w:rPr>
                <w:rFonts w:eastAsia="Arial Nova Light" w:cs="Arial Nova Light"/>
                <w:sz w:val="18"/>
                <w:szCs w:val="18"/>
              </w:rPr>
              <w:t>Feb 21 – Added section Email Security</w:t>
            </w:r>
            <w:r w:rsidR="008802E0">
              <w:rPr>
                <w:rFonts w:eastAsia="Arial Nova Light" w:cs="Arial Nova Light"/>
                <w:sz w:val="18"/>
                <w:szCs w:val="18"/>
              </w:rPr>
              <w:t xml:space="preserve">, </w:t>
            </w:r>
            <w:r>
              <w:rPr>
                <w:rFonts w:eastAsia="Arial Nova Light" w:cs="Arial Nova Light"/>
                <w:sz w:val="18"/>
                <w:szCs w:val="18"/>
              </w:rPr>
              <w:t>Internet Security</w:t>
            </w:r>
            <w:r w:rsidR="00E96E13">
              <w:rPr>
                <w:rFonts w:eastAsia="Arial Nova Light" w:cs="Arial Nova Light"/>
                <w:sz w:val="18"/>
                <w:szCs w:val="18"/>
              </w:rPr>
              <w:t xml:space="preserve">, </w:t>
            </w:r>
            <w:r w:rsidR="008802E0">
              <w:rPr>
                <w:rFonts w:eastAsia="Arial Nova Light" w:cs="Arial Nova Light"/>
                <w:sz w:val="18"/>
                <w:szCs w:val="18"/>
              </w:rPr>
              <w:t>Equipment Security</w:t>
            </w:r>
            <w:r w:rsidR="00E96E13">
              <w:rPr>
                <w:rFonts w:eastAsia="Arial Nova Light" w:cs="Arial Nova Light"/>
                <w:sz w:val="18"/>
                <w:szCs w:val="18"/>
              </w:rPr>
              <w:t xml:space="preserve"> and Use of Personal Devices.</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373DE2F8" w14:textId="04AF7877" w:rsidR="00E96E13"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6882523" w:history="1">
            <w:r w:rsidR="00E96E13" w:rsidRPr="00AD1E73">
              <w:rPr>
                <w:rStyle w:val="Hyperlink"/>
                <w:noProof/>
              </w:rPr>
              <w:t>2.</w:t>
            </w:r>
            <w:r w:rsidR="00E96E13">
              <w:rPr>
                <w:rFonts w:asciiTheme="minorHAnsi" w:eastAsiaTheme="minorEastAsia" w:hAnsiTheme="minorHAnsi"/>
                <w:noProof/>
                <w:lang w:eastAsia="en-GB"/>
              </w:rPr>
              <w:tab/>
            </w:r>
            <w:r w:rsidR="00E96E13" w:rsidRPr="00AD1E73">
              <w:rPr>
                <w:rStyle w:val="Hyperlink"/>
                <w:noProof/>
              </w:rPr>
              <w:t>Definitions</w:t>
            </w:r>
            <w:r w:rsidR="00E96E13">
              <w:rPr>
                <w:noProof/>
                <w:webHidden/>
              </w:rPr>
              <w:tab/>
            </w:r>
            <w:r w:rsidR="00E96E13">
              <w:rPr>
                <w:noProof/>
                <w:webHidden/>
              </w:rPr>
              <w:fldChar w:fldCharType="begin"/>
            </w:r>
            <w:r w:rsidR="00E96E13">
              <w:rPr>
                <w:noProof/>
                <w:webHidden/>
              </w:rPr>
              <w:instrText xml:space="preserve"> PAGEREF _Toc66882523 \h </w:instrText>
            </w:r>
            <w:r w:rsidR="00E96E13">
              <w:rPr>
                <w:noProof/>
                <w:webHidden/>
              </w:rPr>
            </w:r>
            <w:r w:rsidR="00E96E13">
              <w:rPr>
                <w:noProof/>
                <w:webHidden/>
              </w:rPr>
              <w:fldChar w:fldCharType="separate"/>
            </w:r>
            <w:r w:rsidR="00E96E13">
              <w:rPr>
                <w:noProof/>
                <w:webHidden/>
              </w:rPr>
              <w:t>2</w:t>
            </w:r>
            <w:r w:rsidR="00E96E13">
              <w:rPr>
                <w:noProof/>
                <w:webHidden/>
              </w:rPr>
              <w:fldChar w:fldCharType="end"/>
            </w:r>
          </w:hyperlink>
        </w:p>
        <w:p w14:paraId="5C390D5F" w14:textId="1B7FDD34" w:rsidR="00E96E13" w:rsidRDefault="00E96E13">
          <w:pPr>
            <w:pStyle w:val="TOC1"/>
            <w:tabs>
              <w:tab w:val="left" w:pos="440"/>
              <w:tab w:val="right" w:leader="dot" w:pos="9016"/>
            </w:tabs>
            <w:rPr>
              <w:rFonts w:asciiTheme="minorHAnsi" w:eastAsiaTheme="minorEastAsia" w:hAnsiTheme="minorHAnsi"/>
              <w:noProof/>
              <w:lang w:eastAsia="en-GB"/>
            </w:rPr>
          </w:pPr>
          <w:hyperlink w:anchor="_Toc66882524" w:history="1">
            <w:r w:rsidRPr="00AD1E73">
              <w:rPr>
                <w:rStyle w:val="Hyperlink"/>
                <w:noProof/>
              </w:rPr>
              <w:t>3.</w:t>
            </w:r>
            <w:r>
              <w:rPr>
                <w:rFonts w:asciiTheme="minorHAnsi" w:eastAsiaTheme="minorEastAsia" w:hAnsiTheme="minorHAnsi"/>
                <w:noProof/>
                <w:lang w:eastAsia="en-GB"/>
              </w:rPr>
              <w:tab/>
            </w:r>
            <w:r w:rsidRPr="00AD1E73">
              <w:rPr>
                <w:rStyle w:val="Hyperlink"/>
                <w:noProof/>
              </w:rPr>
              <w:t>Introduction</w:t>
            </w:r>
            <w:r>
              <w:rPr>
                <w:noProof/>
                <w:webHidden/>
              </w:rPr>
              <w:tab/>
            </w:r>
            <w:r>
              <w:rPr>
                <w:noProof/>
                <w:webHidden/>
              </w:rPr>
              <w:fldChar w:fldCharType="begin"/>
            </w:r>
            <w:r>
              <w:rPr>
                <w:noProof/>
                <w:webHidden/>
              </w:rPr>
              <w:instrText xml:space="preserve"> PAGEREF _Toc66882524 \h </w:instrText>
            </w:r>
            <w:r>
              <w:rPr>
                <w:noProof/>
                <w:webHidden/>
              </w:rPr>
            </w:r>
            <w:r>
              <w:rPr>
                <w:noProof/>
                <w:webHidden/>
              </w:rPr>
              <w:fldChar w:fldCharType="separate"/>
            </w:r>
            <w:r>
              <w:rPr>
                <w:noProof/>
                <w:webHidden/>
              </w:rPr>
              <w:t>2</w:t>
            </w:r>
            <w:r>
              <w:rPr>
                <w:noProof/>
                <w:webHidden/>
              </w:rPr>
              <w:fldChar w:fldCharType="end"/>
            </w:r>
          </w:hyperlink>
        </w:p>
        <w:p w14:paraId="13C2E815" w14:textId="1125A01A" w:rsidR="00E96E13" w:rsidRDefault="00E96E13">
          <w:pPr>
            <w:pStyle w:val="TOC1"/>
            <w:tabs>
              <w:tab w:val="left" w:pos="440"/>
              <w:tab w:val="right" w:leader="dot" w:pos="9016"/>
            </w:tabs>
            <w:rPr>
              <w:rFonts w:asciiTheme="minorHAnsi" w:eastAsiaTheme="minorEastAsia" w:hAnsiTheme="minorHAnsi"/>
              <w:noProof/>
              <w:lang w:eastAsia="en-GB"/>
            </w:rPr>
          </w:pPr>
          <w:hyperlink w:anchor="_Toc66882525" w:history="1">
            <w:r w:rsidRPr="00AD1E73">
              <w:rPr>
                <w:rStyle w:val="Hyperlink"/>
                <w:noProof/>
              </w:rPr>
              <w:t>4.</w:t>
            </w:r>
            <w:r>
              <w:rPr>
                <w:rFonts w:asciiTheme="minorHAnsi" w:eastAsiaTheme="minorEastAsia" w:hAnsiTheme="minorHAnsi"/>
                <w:noProof/>
                <w:lang w:eastAsia="en-GB"/>
              </w:rPr>
              <w:tab/>
            </w:r>
            <w:r w:rsidRPr="00AD1E73">
              <w:rPr>
                <w:rStyle w:val="Hyperlink"/>
                <w:noProof/>
              </w:rPr>
              <w:t>Scope</w:t>
            </w:r>
            <w:r>
              <w:rPr>
                <w:noProof/>
                <w:webHidden/>
              </w:rPr>
              <w:tab/>
            </w:r>
            <w:r>
              <w:rPr>
                <w:noProof/>
                <w:webHidden/>
              </w:rPr>
              <w:fldChar w:fldCharType="begin"/>
            </w:r>
            <w:r>
              <w:rPr>
                <w:noProof/>
                <w:webHidden/>
              </w:rPr>
              <w:instrText xml:space="preserve"> PAGEREF _Toc66882525 \h </w:instrText>
            </w:r>
            <w:r>
              <w:rPr>
                <w:noProof/>
                <w:webHidden/>
              </w:rPr>
            </w:r>
            <w:r>
              <w:rPr>
                <w:noProof/>
                <w:webHidden/>
              </w:rPr>
              <w:fldChar w:fldCharType="separate"/>
            </w:r>
            <w:r>
              <w:rPr>
                <w:noProof/>
                <w:webHidden/>
              </w:rPr>
              <w:t>2</w:t>
            </w:r>
            <w:r>
              <w:rPr>
                <w:noProof/>
                <w:webHidden/>
              </w:rPr>
              <w:fldChar w:fldCharType="end"/>
            </w:r>
          </w:hyperlink>
        </w:p>
        <w:p w14:paraId="374E16B1" w14:textId="3AA2BDF0" w:rsidR="00E96E13" w:rsidRDefault="00E96E13">
          <w:pPr>
            <w:pStyle w:val="TOC1"/>
            <w:tabs>
              <w:tab w:val="left" w:pos="440"/>
              <w:tab w:val="right" w:leader="dot" w:pos="9016"/>
            </w:tabs>
            <w:rPr>
              <w:rFonts w:asciiTheme="minorHAnsi" w:eastAsiaTheme="minorEastAsia" w:hAnsiTheme="minorHAnsi"/>
              <w:noProof/>
              <w:lang w:eastAsia="en-GB"/>
            </w:rPr>
          </w:pPr>
          <w:hyperlink w:anchor="_Toc66882526" w:history="1">
            <w:r w:rsidRPr="00AD1E73">
              <w:rPr>
                <w:rStyle w:val="Hyperlink"/>
                <w:noProof/>
              </w:rPr>
              <w:t>5.</w:t>
            </w:r>
            <w:r>
              <w:rPr>
                <w:rFonts w:asciiTheme="minorHAnsi" w:eastAsiaTheme="minorEastAsia" w:hAnsiTheme="minorHAnsi"/>
                <w:noProof/>
                <w:lang w:eastAsia="en-GB"/>
              </w:rPr>
              <w:tab/>
            </w:r>
            <w:r w:rsidRPr="00AD1E73">
              <w:rPr>
                <w:rStyle w:val="Hyperlink"/>
                <w:noProof/>
              </w:rPr>
              <w:t>Statutory Mandatory Framework</w:t>
            </w:r>
            <w:r>
              <w:rPr>
                <w:noProof/>
                <w:webHidden/>
              </w:rPr>
              <w:tab/>
            </w:r>
            <w:r>
              <w:rPr>
                <w:noProof/>
                <w:webHidden/>
              </w:rPr>
              <w:fldChar w:fldCharType="begin"/>
            </w:r>
            <w:r>
              <w:rPr>
                <w:noProof/>
                <w:webHidden/>
              </w:rPr>
              <w:instrText xml:space="preserve"> PAGEREF _Toc66882526 \h </w:instrText>
            </w:r>
            <w:r>
              <w:rPr>
                <w:noProof/>
                <w:webHidden/>
              </w:rPr>
            </w:r>
            <w:r>
              <w:rPr>
                <w:noProof/>
                <w:webHidden/>
              </w:rPr>
              <w:fldChar w:fldCharType="separate"/>
            </w:r>
            <w:r>
              <w:rPr>
                <w:noProof/>
                <w:webHidden/>
              </w:rPr>
              <w:t>4</w:t>
            </w:r>
            <w:r>
              <w:rPr>
                <w:noProof/>
                <w:webHidden/>
              </w:rPr>
              <w:fldChar w:fldCharType="end"/>
            </w:r>
          </w:hyperlink>
        </w:p>
        <w:p w14:paraId="49C94C75" w14:textId="1AEC547E" w:rsidR="00E96E13" w:rsidRDefault="00E96E13">
          <w:pPr>
            <w:pStyle w:val="TOC1"/>
            <w:tabs>
              <w:tab w:val="left" w:pos="440"/>
              <w:tab w:val="right" w:leader="dot" w:pos="9016"/>
            </w:tabs>
            <w:rPr>
              <w:rFonts w:asciiTheme="minorHAnsi" w:eastAsiaTheme="minorEastAsia" w:hAnsiTheme="minorHAnsi"/>
              <w:noProof/>
              <w:lang w:eastAsia="en-GB"/>
            </w:rPr>
          </w:pPr>
          <w:hyperlink w:anchor="_Toc66882527" w:history="1">
            <w:r w:rsidRPr="00AD1E73">
              <w:rPr>
                <w:rStyle w:val="Hyperlink"/>
                <w:noProof/>
              </w:rPr>
              <w:t>6.</w:t>
            </w:r>
            <w:r>
              <w:rPr>
                <w:rFonts w:asciiTheme="minorHAnsi" w:eastAsiaTheme="minorEastAsia" w:hAnsiTheme="minorHAnsi"/>
                <w:noProof/>
                <w:lang w:eastAsia="en-GB"/>
              </w:rPr>
              <w:tab/>
            </w:r>
            <w:r w:rsidRPr="00AD1E73">
              <w:rPr>
                <w:rStyle w:val="Hyperlink"/>
                <w:noProof/>
              </w:rPr>
              <w:t>Accountable Parties</w:t>
            </w:r>
            <w:r>
              <w:rPr>
                <w:noProof/>
                <w:webHidden/>
              </w:rPr>
              <w:tab/>
            </w:r>
            <w:r>
              <w:rPr>
                <w:noProof/>
                <w:webHidden/>
              </w:rPr>
              <w:fldChar w:fldCharType="begin"/>
            </w:r>
            <w:r>
              <w:rPr>
                <w:noProof/>
                <w:webHidden/>
              </w:rPr>
              <w:instrText xml:space="preserve"> PAGEREF _Toc66882527 \h </w:instrText>
            </w:r>
            <w:r>
              <w:rPr>
                <w:noProof/>
                <w:webHidden/>
              </w:rPr>
            </w:r>
            <w:r>
              <w:rPr>
                <w:noProof/>
                <w:webHidden/>
              </w:rPr>
              <w:fldChar w:fldCharType="separate"/>
            </w:r>
            <w:r>
              <w:rPr>
                <w:noProof/>
                <w:webHidden/>
              </w:rPr>
              <w:t>4</w:t>
            </w:r>
            <w:r>
              <w:rPr>
                <w:noProof/>
                <w:webHidden/>
              </w:rPr>
              <w:fldChar w:fldCharType="end"/>
            </w:r>
          </w:hyperlink>
        </w:p>
        <w:p w14:paraId="4A86FB45" w14:textId="78BC5B74" w:rsidR="00E96E13" w:rsidRDefault="00E96E13">
          <w:pPr>
            <w:pStyle w:val="TOC1"/>
            <w:tabs>
              <w:tab w:val="left" w:pos="440"/>
              <w:tab w:val="right" w:leader="dot" w:pos="9016"/>
            </w:tabs>
            <w:rPr>
              <w:rFonts w:asciiTheme="minorHAnsi" w:eastAsiaTheme="minorEastAsia" w:hAnsiTheme="minorHAnsi"/>
              <w:noProof/>
              <w:lang w:eastAsia="en-GB"/>
            </w:rPr>
          </w:pPr>
          <w:hyperlink w:anchor="_Toc66882528" w:history="1">
            <w:r w:rsidRPr="00AD1E73">
              <w:rPr>
                <w:rStyle w:val="Hyperlink"/>
                <w:noProof/>
              </w:rPr>
              <w:t>7.</w:t>
            </w:r>
            <w:r>
              <w:rPr>
                <w:rFonts w:asciiTheme="minorHAnsi" w:eastAsiaTheme="minorEastAsia" w:hAnsiTheme="minorHAnsi"/>
                <w:noProof/>
                <w:lang w:eastAsia="en-GB"/>
              </w:rPr>
              <w:tab/>
            </w:r>
            <w:r w:rsidRPr="00AD1E73">
              <w:rPr>
                <w:rStyle w:val="Hyperlink"/>
                <w:noProof/>
              </w:rPr>
              <w:t>Introduction</w:t>
            </w:r>
            <w:r>
              <w:rPr>
                <w:noProof/>
                <w:webHidden/>
              </w:rPr>
              <w:tab/>
            </w:r>
            <w:r>
              <w:rPr>
                <w:noProof/>
                <w:webHidden/>
              </w:rPr>
              <w:fldChar w:fldCharType="begin"/>
            </w:r>
            <w:r>
              <w:rPr>
                <w:noProof/>
                <w:webHidden/>
              </w:rPr>
              <w:instrText xml:space="preserve"> PAGEREF _Toc66882528 \h </w:instrText>
            </w:r>
            <w:r>
              <w:rPr>
                <w:noProof/>
                <w:webHidden/>
              </w:rPr>
            </w:r>
            <w:r>
              <w:rPr>
                <w:noProof/>
                <w:webHidden/>
              </w:rPr>
              <w:fldChar w:fldCharType="separate"/>
            </w:r>
            <w:r>
              <w:rPr>
                <w:noProof/>
                <w:webHidden/>
              </w:rPr>
              <w:t>4</w:t>
            </w:r>
            <w:r>
              <w:rPr>
                <w:noProof/>
                <w:webHidden/>
              </w:rPr>
              <w:fldChar w:fldCharType="end"/>
            </w:r>
          </w:hyperlink>
        </w:p>
        <w:p w14:paraId="37626CF2" w14:textId="490F4A67" w:rsidR="00E96E13" w:rsidRDefault="00E96E13">
          <w:pPr>
            <w:pStyle w:val="TOC1"/>
            <w:tabs>
              <w:tab w:val="left" w:pos="440"/>
              <w:tab w:val="right" w:leader="dot" w:pos="9016"/>
            </w:tabs>
            <w:rPr>
              <w:rFonts w:asciiTheme="minorHAnsi" w:eastAsiaTheme="minorEastAsia" w:hAnsiTheme="minorHAnsi"/>
              <w:noProof/>
              <w:lang w:eastAsia="en-GB"/>
            </w:rPr>
          </w:pPr>
          <w:hyperlink w:anchor="_Toc66882529" w:history="1">
            <w:r w:rsidRPr="00AD1E73">
              <w:rPr>
                <w:rStyle w:val="Hyperlink"/>
                <w:rFonts w:eastAsia="Verdana" w:cs="Verdana"/>
                <w:noProof/>
                <w:lang w:val="en-US"/>
              </w:rPr>
              <w:t>8.</w:t>
            </w:r>
            <w:r>
              <w:rPr>
                <w:rFonts w:asciiTheme="minorHAnsi" w:eastAsiaTheme="minorEastAsia" w:hAnsiTheme="minorHAnsi"/>
                <w:noProof/>
                <w:lang w:eastAsia="en-GB"/>
              </w:rPr>
              <w:tab/>
            </w:r>
            <w:r w:rsidRPr="00AD1E73">
              <w:rPr>
                <w:rStyle w:val="Hyperlink"/>
                <w:noProof/>
              </w:rPr>
              <w:t>Equipment Security and Integrity</w:t>
            </w:r>
            <w:r>
              <w:rPr>
                <w:noProof/>
                <w:webHidden/>
              </w:rPr>
              <w:tab/>
            </w:r>
            <w:r>
              <w:rPr>
                <w:noProof/>
                <w:webHidden/>
              </w:rPr>
              <w:fldChar w:fldCharType="begin"/>
            </w:r>
            <w:r>
              <w:rPr>
                <w:noProof/>
                <w:webHidden/>
              </w:rPr>
              <w:instrText xml:space="preserve"> PAGEREF _Toc66882529 \h </w:instrText>
            </w:r>
            <w:r>
              <w:rPr>
                <w:noProof/>
                <w:webHidden/>
              </w:rPr>
            </w:r>
            <w:r>
              <w:rPr>
                <w:noProof/>
                <w:webHidden/>
              </w:rPr>
              <w:fldChar w:fldCharType="separate"/>
            </w:r>
            <w:r>
              <w:rPr>
                <w:noProof/>
                <w:webHidden/>
              </w:rPr>
              <w:t>4</w:t>
            </w:r>
            <w:r>
              <w:rPr>
                <w:noProof/>
                <w:webHidden/>
              </w:rPr>
              <w:fldChar w:fldCharType="end"/>
            </w:r>
          </w:hyperlink>
        </w:p>
        <w:p w14:paraId="55FA4273" w14:textId="57494296" w:rsidR="00E96E13" w:rsidRDefault="00E96E13">
          <w:pPr>
            <w:pStyle w:val="TOC1"/>
            <w:tabs>
              <w:tab w:val="left" w:pos="440"/>
              <w:tab w:val="right" w:leader="dot" w:pos="9016"/>
            </w:tabs>
            <w:rPr>
              <w:rFonts w:asciiTheme="minorHAnsi" w:eastAsiaTheme="minorEastAsia" w:hAnsiTheme="minorHAnsi"/>
              <w:noProof/>
              <w:lang w:eastAsia="en-GB"/>
            </w:rPr>
          </w:pPr>
          <w:hyperlink w:anchor="_Toc66882530" w:history="1">
            <w:r w:rsidRPr="00AD1E73">
              <w:rPr>
                <w:rStyle w:val="Hyperlink"/>
                <w:noProof/>
              </w:rPr>
              <w:t>9.</w:t>
            </w:r>
            <w:r>
              <w:rPr>
                <w:rFonts w:asciiTheme="minorHAnsi" w:eastAsiaTheme="minorEastAsia" w:hAnsiTheme="minorHAnsi"/>
                <w:noProof/>
                <w:lang w:eastAsia="en-GB"/>
              </w:rPr>
              <w:tab/>
            </w:r>
            <w:r w:rsidRPr="00AD1E73">
              <w:rPr>
                <w:rStyle w:val="Hyperlink"/>
                <w:noProof/>
              </w:rPr>
              <w:t>Email Security</w:t>
            </w:r>
            <w:r>
              <w:rPr>
                <w:noProof/>
                <w:webHidden/>
              </w:rPr>
              <w:tab/>
            </w:r>
            <w:r>
              <w:rPr>
                <w:noProof/>
                <w:webHidden/>
              </w:rPr>
              <w:fldChar w:fldCharType="begin"/>
            </w:r>
            <w:r>
              <w:rPr>
                <w:noProof/>
                <w:webHidden/>
              </w:rPr>
              <w:instrText xml:space="preserve"> PAGEREF _Toc66882530 \h </w:instrText>
            </w:r>
            <w:r>
              <w:rPr>
                <w:noProof/>
                <w:webHidden/>
              </w:rPr>
            </w:r>
            <w:r>
              <w:rPr>
                <w:noProof/>
                <w:webHidden/>
              </w:rPr>
              <w:fldChar w:fldCharType="separate"/>
            </w:r>
            <w:r>
              <w:rPr>
                <w:noProof/>
                <w:webHidden/>
              </w:rPr>
              <w:t>5</w:t>
            </w:r>
            <w:r>
              <w:rPr>
                <w:noProof/>
                <w:webHidden/>
              </w:rPr>
              <w:fldChar w:fldCharType="end"/>
            </w:r>
          </w:hyperlink>
        </w:p>
        <w:p w14:paraId="7CD41B01" w14:textId="24FD7BB3" w:rsidR="00E96E13" w:rsidRDefault="00E96E13">
          <w:pPr>
            <w:pStyle w:val="TOC1"/>
            <w:tabs>
              <w:tab w:val="left" w:pos="660"/>
              <w:tab w:val="right" w:leader="dot" w:pos="9016"/>
            </w:tabs>
            <w:rPr>
              <w:rFonts w:asciiTheme="minorHAnsi" w:eastAsiaTheme="minorEastAsia" w:hAnsiTheme="minorHAnsi"/>
              <w:noProof/>
              <w:lang w:eastAsia="en-GB"/>
            </w:rPr>
          </w:pPr>
          <w:hyperlink w:anchor="_Toc66882531" w:history="1">
            <w:r w:rsidRPr="00AD1E73">
              <w:rPr>
                <w:rStyle w:val="Hyperlink"/>
                <w:noProof/>
              </w:rPr>
              <w:t>10.</w:t>
            </w:r>
            <w:r>
              <w:rPr>
                <w:rFonts w:asciiTheme="minorHAnsi" w:eastAsiaTheme="minorEastAsia" w:hAnsiTheme="minorHAnsi"/>
                <w:noProof/>
                <w:lang w:eastAsia="en-GB"/>
              </w:rPr>
              <w:tab/>
            </w:r>
            <w:r w:rsidRPr="00AD1E73">
              <w:rPr>
                <w:rStyle w:val="Hyperlink"/>
                <w:noProof/>
              </w:rPr>
              <w:t>Internet Security</w:t>
            </w:r>
            <w:r>
              <w:rPr>
                <w:noProof/>
                <w:webHidden/>
              </w:rPr>
              <w:tab/>
            </w:r>
            <w:r>
              <w:rPr>
                <w:noProof/>
                <w:webHidden/>
              </w:rPr>
              <w:fldChar w:fldCharType="begin"/>
            </w:r>
            <w:r>
              <w:rPr>
                <w:noProof/>
                <w:webHidden/>
              </w:rPr>
              <w:instrText xml:space="preserve"> PAGEREF _Toc66882531 \h </w:instrText>
            </w:r>
            <w:r>
              <w:rPr>
                <w:noProof/>
                <w:webHidden/>
              </w:rPr>
            </w:r>
            <w:r>
              <w:rPr>
                <w:noProof/>
                <w:webHidden/>
              </w:rPr>
              <w:fldChar w:fldCharType="separate"/>
            </w:r>
            <w:r>
              <w:rPr>
                <w:noProof/>
                <w:webHidden/>
              </w:rPr>
              <w:t>6</w:t>
            </w:r>
            <w:r>
              <w:rPr>
                <w:noProof/>
                <w:webHidden/>
              </w:rPr>
              <w:fldChar w:fldCharType="end"/>
            </w:r>
          </w:hyperlink>
        </w:p>
        <w:p w14:paraId="701CDE69" w14:textId="69CB8BC2" w:rsidR="00E96E13" w:rsidRDefault="00E96E13">
          <w:pPr>
            <w:pStyle w:val="TOC1"/>
            <w:tabs>
              <w:tab w:val="left" w:pos="660"/>
              <w:tab w:val="right" w:leader="dot" w:pos="9016"/>
            </w:tabs>
            <w:rPr>
              <w:rFonts w:asciiTheme="minorHAnsi" w:eastAsiaTheme="minorEastAsia" w:hAnsiTheme="minorHAnsi"/>
              <w:noProof/>
              <w:lang w:eastAsia="en-GB"/>
            </w:rPr>
          </w:pPr>
          <w:hyperlink w:anchor="_Toc66882532" w:history="1">
            <w:r w:rsidRPr="00AD1E73">
              <w:rPr>
                <w:rStyle w:val="Hyperlink"/>
                <w:noProof/>
              </w:rPr>
              <w:t>11.</w:t>
            </w:r>
            <w:r>
              <w:rPr>
                <w:rFonts w:asciiTheme="minorHAnsi" w:eastAsiaTheme="minorEastAsia" w:hAnsiTheme="minorHAnsi"/>
                <w:noProof/>
                <w:lang w:eastAsia="en-GB"/>
              </w:rPr>
              <w:tab/>
            </w:r>
            <w:r w:rsidRPr="00AD1E73">
              <w:rPr>
                <w:rStyle w:val="Hyperlink"/>
                <w:noProof/>
              </w:rPr>
              <w:t>Identity, Authentication and Authorisation</w:t>
            </w:r>
            <w:r>
              <w:rPr>
                <w:noProof/>
                <w:webHidden/>
              </w:rPr>
              <w:tab/>
            </w:r>
            <w:r>
              <w:rPr>
                <w:noProof/>
                <w:webHidden/>
              </w:rPr>
              <w:fldChar w:fldCharType="begin"/>
            </w:r>
            <w:r>
              <w:rPr>
                <w:noProof/>
                <w:webHidden/>
              </w:rPr>
              <w:instrText xml:space="preserve"> PAGEREF _Toc66882532 \h </w:instrText>
            </w:r>
            <w:r>
              <w:rPr>
                <w:noProof/>
                <w:webHidden/>
              </w:rPr>
            </w:r>
            <w:r>
              <w:rPr>
                <w:noProof/>
                <w:webHidden/>
              </w:rPr>
              <w:fldChar w:fldCharType="separate"/>
            </w:r>
            <w:r>
              <w:rPr>
                <w:noProof/>
                <w:webHidden/>
              </w:rPr>
              <w:t>6</w:t>
            </w:r>
            <w:r>
              <w:rPr>
                <w:noProof/>
                <w:webHidden/>
              </w:rPr>
              <w:fldChar w:fldCharType="end"/>
            </w:r>
          </w:hyperlink>
        </w:p>
        <w:p w14:paraId="1E8D5576" w14:textId="06A11EDB" w:rsidR="00E96E13" w:rsidRDefault="00E96E13">
          <w:pPr>
            <w:pStyle w:val="TOC1"/>
            <w:tabs>
              <w:tab w:val="left" w:pos="660"/>
              <w:tab w:val="right" w:leader="dot" w:pos="9016"/>
            </w:tabs>
            <w:rPr>
              <w:rFonts w:asciiTheme="minorHAnsi" w:eastAsiaTheme="minorEastAsia" w:hAnsiTheme="minorHAnsi"/>
              <w:noProof/>
              <w:lang w:eastAsia="en-GB"/>
            </w:rPr>
          </w:pPr>
          <w:hyperlink w:anchor="_Toc66882533" w:history="1">
            <w:r w:rsidRPr="00AD1E73">
              <w:rPr>
                <w:rStyle w:val="Hyperlink"/>
                <w:noProof/>
              </w:rPr>
              <w:t>12.</w:t>
            </w:r>
            <w:r>
              <w:rPr>
                <w:rFonts w:asciiTheme="minorHAnsi" w:eastAsiaTheme="minorEastAsia" w:hAnsiTheme="minorHAnsi"/>
                <w:noProof/>
                <w:lang w:eastAsia="en-GB"/>
              </w:rPr>
              <w:tab/>
            </w:r>
            <w:r w:rsidRPr="00AD1E73">
              <w:rPr>
                <w:rStyle w:val="Hyperlink"/>
                <w:noProof/>
              </w:rPr>
              <w:t>Use of Personal Devices</w:t>
            </w:r>
            <w:r>
              <w:rPr>
                <w:noProof/>
                <w:webHidden/>
              </w:rPr>
              <w:tab/>
            </w:r>
            <w:r>
              <w:rPr>
                <w:noProof/>
                <w:webHidden/>
              </w:rPr>
              <w:fldChar w:fldCharType="begin"/>
            </w:r>
            <w:r>
              <w:rPr>
                <w:noProof/>
                <w:webHidden/>
              </w:rPr>
              <w:instrText xml:space="preserve"> PAGEREF _Toc66882533 \h </w:instrText>
            </w:r>
            <w:r>
              <w:rPr>
                <w:noProof/>
                <w:webHidden/>
              </w:rPr>
            </w:r>
            <w:r>
              <w:rPr>
                <w:noProof/>
                <w:webHidden/>
              </w:rPr>
              <w:fldChar w:fldCharType="separate"/>
            </w:r>
            <w:r>
              <w:rPr>
                <w:noProof/>
                <w:webHidden/>
              </w:rPr>
              <w:t>6</w:t>
            </w:r>
            <w:r>
              <w:rPr>
                <w:noProof/>
                <w:webHidden/>
              </w:rPr>
              <w:fldChar w:fldCharType="end"/>
            </w:r>
          </w:hyperlink>
        </w:p>
        <w:p w14:paraId="2F145853" w14:textId="089250FD" w:rsidR="00E96E13" w:rsidRDefault="00E96E13">
          <w:pPr>
            <w:pStyle w:val="TOC1"/>
            <w:tabs>
              <w:tab w:val="left" w:pos="660"/>
              <w:tab w:val="right" w:leader="dot" w:pos="9016"/>
            </w:tabs>
            <w:rPr>
              <w:rFonts w:asciiTheme="minorHAnsi" w:eastAsiaTheme="minorEastAsia" w:hAnsiTheme="minorHAnsi"/>
              <w:noProof/>
              <w:lang w:eastAsia="en-GB"/>
            </w:rPr>
          </w:pPr>
          <w:hyperlink w:anchor="_Toc66882534" w:history="1">
            <w:r w:rsidRPr="00AD1E73">
              <w:rPr>
                <w:rStyle w:val="Hyperlink"/>
                <w:noProof/>
              </w:rPr>
              <w:t>13.</w:t>
            </w:r>
            <w:r>
              <w:rPr>
                <w:rFonts w:asciiTheme="minorHAnsi" w:eastAsiaTheme="minorEastAsia" w:hAnsiTheme="minorHAnsi"/>
                <w:noProof/>
                <w:lang w:eastAsia="en-GB"/>
              </w:rPr>
              <w:tab/>
            </w:r>
            <w:r w:rsidRPr="00AD1E73">
              <w:rPr>
                <w:rStyle w:val="Hyperlink"/>
                <w:noProof/>
              </w:rPr>
              <w:t>Accountability, Audit and Compliance</w:t>
            </w:r>
            <w:r>
              <w:rPr>
                <w:noProof/>
                <w:webHidden/>
              </w:rPr>
              <w:tab/>
            </w:r>
            <w:r>
              <w:rPr>
                <w:noProof/>
                <w:webHidden/>
              </w:rPr>
              <w:fldChar w:fldCharType="begin"/>
            </w:r>
            <w:r>
              <w:rPr>
                <w:noProof/>
                <w:webHidden/>
              </w:rPr>
              <w:instrText xml:space="preserve"> PAGEREF _Toc66882534 \h </w:instrText>
            </w:r>
            <w:r>
              <w:rPr>
                <w:noProof/>
                <w:webHidden/>
              </w:rPr>
            </w:r>
            <w:r>
              <w:rPr>
                <w:noProof/>
                <w:webHidden/>
              </w:rPr>
              <w:fldChar w:fldCharType="separate"/>
            </w:r>
            <w:r>
              <w:rPr>
                <w:noProof/>
                <w:webHidden/>
              </w:rPr>
              <w:t>8</w:t>
            </w:r>
            <w:r>
              <w:rPr>
                <w:noProof/>
                <w:webHidden/>
              </w:rPr>
              <w:fldChar w:fldCharType="end"/>
            </w:r>
          </w:hyperlink>
        </w:p>
        <w:p w14:paraId="3A8D346E" w14:textId="3D10DFDB" w:rsidR="00E96E13" w:rsidRDefault="00E96E13">
          <w:pPr>
            <w:pStyle w:val="TOC1"/>
            <w:tabs>
              <w:tab w:val="left" w:pos="660"/>
              <w:tab w:val="right" w:leader="dot" w:pos="9016"/>
            </w:tabs>
            <w:rPr>
              <w:rFonts w:asciiTheme="minorHAnsi" w:eastAsiaTheme="minorEastAsia" w:hAnsiTheme="minorHAnsi"/>
              <w:noProof/>
              <w:lang w:eastAsia="en-GB"/>
            </w:rPr>
          </w:pPr>
          <w:hyperlink w:anchor="_Toc66882535" w:history="1">
            <w:r w:rsidRPr="00AD1E73">
              <w:rPr>
                <w:rStyle w:val="Hyperlink"/>
                <w:noProof/>
              </w:rPr>
              <w:t>14.</w:t>
            </w:r>
            <w:r>
              <w:rPr>
                <w:rFonts w:asciiTheme="minorHAnsi" w:eastAsiaTheme="minorEastAsia" w:hAnsiTheme="minorHAnsi"/>
                <w:noProof/>
                <w:lang w:eastAsia="en-GB"/>
              </w:rPr>
              <w:tab/>
            </w:r>
            <w:r w:rsidRPr="00AD1E73">
              <w:rPr>
                <w:rStyle w:val="Hyperlink"/>
                <w:noProof/>
              </w:rPr>
              <w:t>Information Risk</w:t>
            </w:r>
            <w:r>
              <w:rPr>
                <w:noProof/>
                <w:webHidden/>
              </w:rPr>
              <w:tab/>
            </w:r>
            <w:r>
              <w:rPr>
                <w:noProof/>
                <w:webHidden/>
              </w:rPr>
              <w:fldChar w:fldCharType="begin"/>
            </w:r>
            <w:r>
              <w:rPr>
                <w:noProof/>
                <w:webHidden/>
              </w:rPr>
              <w:instrText xml:space="preserve"> PAGEREF _Toc66882535 \h </w:instrText>
            </w:r>
            <w:r>
              <w:rPr>
                <w:noProof/>
                <w:webHidden/>
              </w:rPr>
            </w:r>
            <w:r>
              <w:rPr>
                <w:noProof/>
                <w:webHidden/>
              </w:rPr>
              <w:fldChar w:fldCharType="separate"/>
            </w:r>
            <w:r>
              <w:rPr>
                <w:noProof/>
                <w:webHidden/>
              </w:rPr>
              <w:t>9</w:t>
            </w:r>
            <w:r>
              <w:rPr>
                <w:noProof/>
                <w:webHidden/>
              </w:rPr>
              <w:fldChar w:fldCharType="end"/>
            </w:r>
          </w:hyperlink>
        </w:p>
        <w:p w14:paraId="5621365A" w14:textId="4F401239" w:rsidR="00E96E13" w:rsidRDefault="00E96E13">
          <w:pPr>
            <w:pStyle w:val="TOC1"/>
            <w:tabs>
              <w:tab w:val="left" w:pos="660"/>
              <w:tab w:val="right" w:leader="dot" w:pos="9016"/>
            </w:tabs>
            <w:rPr>
              <w:rFonts w:asciiTheme="minorHAnsi" w:eastAsiaTheme="minorEastAsia" w:hAnsiTheme="minorHAnsi"/>
              <w:noProof/>
              <w:lang w:eastAsia="en-GB"/>
            </w:rPr>
          </w:pPr>
          <w:hyperlink w:anchor="_Toc66882536" w:history="1">
            <w:r w:rsidRPr="00AD1E73">
              <w:rPr>
                <w:rStyle w:val="Hyperlink"/>
                <w:noProof/>
              </w:rPr>
              <w:t>15.</w:t>
            </w:r>
            <w:r>
              <w:rPr>
                <w:rFonts w:asciiTheme="minorHAnsi" w:eastAsiaTheme="minorEastAsia" w:hAnsiTheme="minorHAnsi"/>
                <w:noProof/>
                <w:lang w:eastAsia="en-GB"/>
              </w:rPr>
              <w:tab/>
            </w:r>
            <w:r w:rsidRPr="00AD1E73">
              <w:rPr>
                <w:rStyle w:val="Hyperlink"/>
                <w:noProof/>
              </w:rPr>
              <w:t>Technical Controls</w:t>
            </w:r>
            <w:r>
              <w:rPr>
                <w:noProof/>
                <w:webHidden/>
              </w:rPr>
              <w:tab/>
            </w:r>
            <w:r>
              <w:rPr>
                <w:noProof/>
                <w:webHidden/>
              </w:rPr>
              <w:fldChar w:fldCharType="begin"/>
            </w:r>
            <w:r>
              <w:rPr>
                <w:noProof/>
                <w:webHidden/>
              </w:rPr>
              <w:instrText xml:space="preserve"> PAGEREF _Toc66882536 \h </w:instrText>
            </w:r>
            <w:r>
              <w:rPr>
                <w:noProof/>
                <w:webHidden/>
              </w:rPr>
            </w:r>
            <w:r>
              <w:rPr>
                <w:noProof/>
                <w:webHidden/>
              </w:rPr>
              <w:fldChar w:fldCharType="separate"/>
            </w:r>
            <w:r>
              <w:rPr>
                <w:noProof/>
                <w:webHidden/>
              </w:rPr>
              <w:t>9</w:t>
            </w:r>
            <w:r>
              <w:rPr>
                <w:noProof/>
                <w:webHidden/>
              </w:rPr>
              <w:fldChar w:fldCharType="end"/>
            </w:r>
          </w:hyperlink>
        </w:p>
        <w:p w14:paraId="532F0518" w14:textId="41F4D1A9" w:rsidR="00E96E13" w:rsidRDefault="00E96E13">
          <w:pPr>
            <w:pStyle w:val="TOC1"/>
            <w:tabs>
              <w:tab w:val="left" w:pos="660"/>
              <w:tab w:val="right" w:leader="dot" w:pos="9016"/>
            </w:tabs>
            <w:rPr>
              <w:rFonts w:asciiTheme="minorHAnsi" w:eastAsiaTheme="minorEastAsia" w:hAnsiTheme="minorHAnsi"/>
              <w:noProof/>
              <w:lang w:eastAsia="en-GB"/>
            </w:rPr>
          </w:pPr>
          <w:hyperlink w:anchor="_Toc66882537" w:history="1">
            <w:r w:rsidRPr="00AD1E73">
              <w:rPr>
                <w:rStyle w:val="Hyperlink"/>
                <w:rFonts w:ascii="Calibri" w:hAnsi="Calibri" w:cs="Calibri"/>
                <w:noProof/>
              </w:rPr>
              <w:t>16.</w:t>
            </w:r>
            <w:r>
              <w:rPr>
                <w:rFonts w:asciiTheme="minorHAnsi" w:eastAsiaTheme="minorEastAsia" w:hAnsiTheme="minorHAnsi"/>
                <w:noProof/>
                <w:lang w:eastAsia="en-GB"/>
              </w:rPr>
              <w:tab/>
            </w:r>
            <w:r w:rsidRPr="00AD1E73">
              <w:rPr>
                <w:rStyle w:val="Hyperlink"/>
                <w:noProof/>
              </w:rPr>
              <w:t>Procedural Controls</w:t>
            </w:r>
            <w:r>
              <w:rPr>
                <w:noProof/>
                <w:webHidden/>
              </w:rPr>
              <w:tab/>
            </w:r>
            <w:r>
              <w:rPr>
                <w:noProof/>
                <w:webHidden/>
              </w:rPr>
              <w:fldChar w:fldCharType="begin"/>
            </w:r>
            <w:r>
              <w:rPr>
                <w:noProof/>
                <w:webHidden/>
              </w:rPr>
              <w:instrText xml:space="preserve"> PAGEREF _Toc66882537 \h </w:instrText>
            </w:r>
            <w:r>
              <w:rPr>
                <w:noProof/>
                <w:webHidden/>
              </w:rPr>
            </w:r>
            <w:r>
              <w:rPr>
                <w:noProof/>
                <w:webHidden/>
              </w:rPr>
              <w:fldChar w:fldCharType="separate"/>
            </w:r>
            <w:r>
              <w:rPr>
                <w:noProof/>
                <w:webHidden/>
              </w:rPr>
              <w:t>10</w:t>
            </w:r>
            <w:r>
              <w:rPr>
                <w:noProof/>
                <w:webHidden/>
              </w:rPr>
              <w:fldChar w:fldCharType="end"/>
            </w:r>
          </w:hyperlink>
        </w:p>
        <w:p w14:paraId="4DE340DC" w14:textId="0E480690" w:rsidR="00E96E13" w:rsidRDefault="00E96E13">
          <w:pPr>
            <w:pStyle w:val="TOC1"/>
            <w:tabs>
              <w:tab w:val="left" w:pos="660"/>
              <w:tab w:val="right" w:leader="dot" w:pos="9016"/>
            </w:tabs>
            <w:rPr>
              <w:rFonts w:asciiTheme="minorHAnsi" w:eastAsiaTheme="minorEastAsia" w:hAnsiTheme="minorHAnsi"/>
              <w:noProof/>
              <w:lang w:eastAsia="en-GB"/>
            </w:rPr>
          </w:pPr>
          <w:hyperlink w:anchor="_Toc66882538" w:history="1">
            <w:r w:rsidRPr="00AD1E73">
              <w:rPr>
                <w:rStyle w:val="Hyperlink"/>
                <w:noProof/>
              </w:rPr>
              <w:t>17.</w:t>
            </w:r>
            <w:r>
              <w:rPr>
                <w:rFonts w:asciiTheme="minorHAnsi" w:eastAsiaTheme="minorEastAsia" w:hAnsiTheme="minorHAnsi"/>
                <w:noProof/>
                <w:lang w:eastAsia="en-GB"/>
              </w:rPr>
              <w:tab/>
            </w:r>
            <w:r w:rsidRPr="00AD1E73">
              <w:rPr>
                <w:rStyle w:val="Hyperlink"/>
                <w:noProof/>
              </w:rPr>
              <w:t>Information Incidents</w:t>
            </w:r>
            <w:r>
              <w:rPr>
                <w:noProof/>
                <w:webHidden/>
              </w:rPr>
              <w:tab/>
            </w:r>
            <w:r>
              <w:rPr>
                <w:noProof/>
                <w:webHidden/>
              </w:rPr>
              <w:fldChar w:fldCharType="begin"/>
            </w:r>
            <w:r>
              <w:rPr>
                <w:noProof/>
                <w:webHidden/>
              </w:rPr>
              <w:instrText xml:space="preserve"> PAGEREF _Toc66882538 \h </w:instrText>
            </w:r>
            <w:r>
              <w:rPr>
                <w:noProof/>
                <w:webHidden/>
              </w:rPr>
            </w:r>
            <w:r>
              <w:rPr>
                <w:noProof/>
                <w:webHidden/>
              </w:rPr>
              <w:fldChar w:fldCharType="separate"/>
            </w:r>
            <w:r>
              <w:rPr>
                <w:noProof/>
                <w:webHidden/>
              </w:rPr>
              <w:t>10</w:t>
            </w:r>
            <w:r>
              <w:rPr>
                <w:noProof/>
                <w:webHidden/>
              </w:rPr>
              <w:fldChar w:fldCharType="end"/>
            </w:r>
          </w:hyperlink>
        </w:p>
        <w:p w14:paraId="223C1B47" w14:textId="7A839348" w:rsidR="00E96E13" w:rsidRDefault="00E96E13">
          <w:pPr>
            <w:pStyle w:val="TOC1"/>
            <w:tabs>
              <w:tab w:val="left" w:pos="660"/>
              <w:tab w:val="right" w:leader="dot" w:pos="9016"/>
            </w:tabs>
            <w:rPr>
              <w:rFonts w:asciiTheme="minorHAnsi" w:eastAsiaTheme="minorEastAsia" w:hAnsiTheme="minorHAnsi"/>
              <w:noProof/>
              <w:lang w:eastAsia="en-GB"/>
            </w:rPr>
          </w:pPr>
          <w:hyperlink w:anchor="_Toc66882539" w:history="1">
            <w:r w:rsidRPr="00AD1E73">
              <w:rPr>
                <w:rStyle w:val="Hyperlink"/>
                <w:noProof/>
              </w:rPr>
              <w:t>18.</w:t>
            </w:r>
            <w:r>
              <w:rPr>
                <w:rFonts w:asciiTheme="minorHAnsi" w:eastAsiaTheme="minorEastAsia" w:hAnsiTheme="minorHAnsi"/>
                <w:noProof/>
                <w:lang w:eastAsia="en-GB"/>
              </w:rPr>
              <w:tab/>
            </w:r>
            <w:r w:rsidRPr="00AD1E73">
              <w:rPr>
                <w:rStyle w:val="Hyperlink"/>
                <w:noProof/>
              </w:rPr>
              <w:t>Associated Protocols</w:t>
            </w:r>
            <w:r>
              <w:rPr>
                <w:noProof/>
                <w:webHidden/>
              </w:rPr>
              <w:tab/>
            </w:r>
            <w:r>
              <w:rPr>
                <w:noProof/>
                <w:webHidden/>
              </w:rPr>
              <w:fldChar w:fldCharType="begin"/>
            </w:r>
            <w:r>
              <w:rPr>
                <w:noProof/>
                <w:webHidden/>
              </w:rPr>
              <w:instrText xml:space="preserve"> PAGEREF _Toc66882539 \h </w:instrText>
            </w:r>
            <w:r>
              <w:rPr>
                <w:noProof/>
                <w:webHidden/>
              </w:rPr>
            </w:r>
            <w:r>
              <w:rPr>
                <w:noProof/>
                <w:webHidden/>
              </w:rPr>
              <w:fldChar w:fldCharType="separate"/>
            </w:r>
            <w:r>
              <w:rPr>
                <w:noProof/>
                <w:webHidden/>
              </w:rPr>
              <w:t>10</w:t>
            </w:r>
            <w:r>
              <w:rPr>
                <w:noProof/>
                <w:webHidden/>
              </w:rPr>
              <w:fldChar w:fldCharType="end"/>
            </w:r>
          </w:hyperlink>
        </w:p>
        <w:p w14:paraId="76EF4716" w14:textId="499806AF" w:rsidR="00E96E13" w:rsidRDefault="00E96E13">
          <w:pPr>
            <w:pStyle w:val="TOC1"/>
            <w:tabs>
              <w:tab w:val="left" w:pos="660"/>
              <w:tab w:val="right" w:leader="dot" w:pos="9016"/>
            </w:tabs>
            <w:rPr>
              <w:rFonts w:asciiTheme="minorHAnsi" w:eastAsiaTheme="minorEastAsia" w:hAnsiTheme="minorHAnsi"/>
              <w:noProof/>
              <w:lang w:eastAsia="en-GB"/>
            </w:rPr>
          </w:pPr>
          <w:hyperlink w:anchor="_Toc66882540" w:history="1">
            <w:r w:rsidRPr="00AD1E73">
              <w:rPr>
                <w:rStyle w:val="Hyperlink"/>
                <w:noProof/>
              </w:rPr>
              <w:t>19.</w:t>
            </w:r>
            <w:r>
              <w:rPr>
                <w:rFonts w:asciiTheme="minorHAnsi" w:eastAsiaTheme="minorEastAsia" w:hAnsiTheme="minorHAnsi"/>
                <w:noProof/>
                <w:lang w:eastAsia="en-GB"/>
              </w:rPr>
              <w:tab/>
            </w:r>
            <w:r w:rsidRPr="00AD1E73">
              <w:rPr>
                <w:rStyle w:val="Hyperlink"/>
                <w:noProof/>
              </w:rPr>
              <w:t>Review</w:t>
            </w:r>
            <w:r>
              <w:rPr>
                <w:noProof/>
                <w:webHidden/>
              </w:rPr>
              <w:tab/>
            </w:r>
            <w:r>
              <w:rPr>
                <w:noProof/>
                <w:webHidden/>
              </w:rPr>
              <w:fldChar w:fldCharType="begin"/>
            </w:r>
            <w:r>
              <w:rPr>
                <w:noProof/>
                <w:webHidden/>
              </w:rPr>
              <w:instrText xml:space="preserve"> PAGEREF _Toc66882540 \h </w:instrText>
            </w:r>
            <w:r>
              <w:rPr>
                <w:noProof/>
                <w:webHidden/>
              </w:rPr>
            </w:r>
            <w:r>
              <w:rPr>
                <w:noProof/>
                <w:webHidden/>
              </w:rPr>
              <w:fldChar w:fldCharType="separate"/>
            </w:r>
            <w:r>
              <w:rPr>
                <w:noProof/>
                <w:webHidden/>
              </w:rPr>
              <w:t>11</w:t>
            </w:r>
            <w:r>
              <w:rPr>
                <w:noProof/>
                <w:webHidden/>
              </w:rPr>
              <w:fldChar w:fldCharType="end"/>
            </w:r>
          </w:hyperlink>
        </w:p>
        <w:p w14:paraId="5486FE18" w14:textId="76C45D39" w:rsidR="00E96E13" w:rsidRDefault="00E96E13">
          <w:pPr>
            <w:pStyle w:val="TOC1"/>
            <w:tabs>
              <w:tab w:val="right" w:leader="dot" w:pos="9016"/>
            </w:tabs>
            <w:rPr>
              <w:rFonts w:asciiTheme="minorHAnsi" w:eastAsiaTheme="minorEastAsia" w:hAnsiTheme="minorHAnsi"/>
              <w:noProof/>
              <w:lang w:eastAsia="en-GB"/>
            </w:rPr>
          </w:pPr>
          <w:hyperlink w:anchor="_Toc66882541" w:history="1">
            <w:r w:rsidRPr="00AD1E73">
              <w:rPr>
                <w:rStyle w:val="Hyperlink"/>
                <w:noProof/>
              </w:rPr>
              <w:t>Appendix A User Authorisation Process</w:t>
            </w:r>
            <w:r>
              <w:rPr>
                <w:noProof/>
                <w:webHidden/>
              </w:rPr>
              <w:tab/>
            </w:r>
            <w:r>
              <w:rPr>
                <w:noProof/>
                <w:webHidden/>
              </w:rPr>
              <w:fldChar w:fldCharType="begin"/>
            </w:r>
            <w:r>
              <w:rPr>
                <w:noProof/>
                <w:webHidden/>
              </w:rPr>
              <w:instrText xml:space="preserve"> PAGEREF _Toc66882541 \h </w:instrText>
            </w:r>
            <w:r>
              <w:rPr>
                <w:noProof/>
                <w:webHidden/>
              </w:rPr>
            </w:r>
            <w:r>
              <w:rPr>
                <w:noProof/>
                <w:webHidden/>
              </w:rPr>
              <w:fldChar w:fldCharType="separate"/>
            </w:r>
            <w:r>
              <w:rPr>
                <w:noProof/>
                <w:webHidden/>
              </w:rPr>
              <w:t>12</w:t>
            </w:r>
            <w:r>
              <w:rPr>
                <w:noProof/>
                <w:webHidden/>
              </w:rPr>
              <w:fldChar w:fldCharType="end"/>
            </w:r>
          </w:hyperlink>
        </w:p>
        <w:p w14:paraId="7DFD60A2" w14:textId="59CEB629" w:rsidR="00F03257" w:rsidRDefault="00F03257">
          <w:pPr>
            <w:rPr>
              <w:b/>
              <w:bCs/>
              <w:noProof/>
            </w:rPr>
          </w:pPr>
          <w:r>
            <w:rPr>
              <w:b/>
              <w:bCs/>
              <w:noProof/>
            </w:rPr>
            <w:fldChar w:fldCharType="end"/>
          </w:r>
        </w:p>
      </w:sdtContent>
    </w:sdt>
    <w:p w14:paraId="78CE0B99" w14:textId="77777777" w:rsidR="00ED5CD6" w:rsidRDefault="00ED5CD6" w:rsidP="00ED5CD6">
      <w:pPr>
        <w:pStyle w:val="Heading1"/>
      </w:pPr>
      <w:bookmarkStart w:id="0" w:name="_Toc504985442"/>
      <w:bookmarkStart w:id="1" w:name="_Toc66882523"/>
      <w:r>
        <w:t>Definitions</w:t>
      </w:r>
      <w:bookmarkEnd w:id="0"/>
      <w:bookmarkEnd w:id="1"/>
    </w:p>
    <w:p w14:paraId="139FF448" w14:textId="4D1FD091" w:rsidR="00ED5CD6" w:rsidRPr="005E6604"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177EED">
        <w:t xml:space="preserve">2018 </w:t>
      </w:r>
      <w:r>
        <w:t>/ GDPR (identifiable information about the living), information covered by the Common Law Duty of 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2" w:name="_Toc66882524"/>
      <w:r w:rsidRPr="00B94E5A">
        <w:t>Introduction</w:t>
      </w:r>
      <w:bookmarkEnd w:id="2"/>
    </w:p>
    <w:p w14:paraId="040B54E8" w14:textId="7DD5098B" w:rsidR="00E90D5E" w:rsidRDefault="00D22621" w:rsidP="00E90D5E">
      <w:r>
        <w:t xml:space="preserve">This protocol intends to support </w:t>
      </w:r>
      <w:r w:rsidR="00B5607D">
        <w:rPr>
          <w:b/>
        </w:rPr>
        <w:t>The Practice</w:t>
      </w:r>
      <w:r w:rsidR="001A2A82">
        <w:t xml:space="preserve"> staff </w:t>
      </w:r>
      <w:r w:rsidR="003D5CF6">
        <w:t>to discharge their duties in a way that support</w:t>
      </w:r>
      <w:r w:rsidR="006316B6">
        <w:t>s</w:t>
      </w:r>
      <w:r w:rsidR="003D5CF6">
        <w:t xml:space="preserve"> effective </w:t>
      </w:r>
      <w:r w:rsidR="001A2A82">
        <w:t xml:space="preserve">information </w:t>
      </w:r>
      <w:r w:rsidR="003D5CF6">
        <w:t>security</w:t>
      </w:r>
      <w:r w:rsidR="001A2A82">
        <w:t xml:space="preserve"> </w:t>
      </w:r>
      <w:r w:rsidR="003D5CF6">
        <w:t xml:space="preserve">and protect </w:t>
      </w:r>
      <w:r w:rsidR="00B5607D">
        <w:rPr>
          <w:b/>
        </w:rPr>
        <w:t>The Practice</w:t>
      </w:r>
      <w:r w:rsidR="003D5CF6">
        <w:t xml:space="preserve"> from cyber threats and identify vulnerabilities.</w:t>
      </w:r>
    </w:p>
    <w:p w14:paraId="70DC1773" w14:textId="40F1AD11" w:rsidR="003D51CA" w:rsidRDefault="003D51CA" w:rsidP="003D51CA">
      <w:pPr>
        <w:pStyle w:val="Heading1"/>
      </w:pPr>
      <w:bookmarkStart w:id="3" w:name="_Toc66882525"/>
      <w:r>
        <w:t>Scope</w:t>
      </w:r>
      <w:bookmarkEnd w:id="3"/>
    </w:p>
    <w:p w14:paraId="4790E99E" w14:textId="77777777" w:rsidR="009A722F" w:rsidRDefault="009A722F" w:rsidP="009A722F">
      <w:r>
        <w:t xml:space="preserve">This policy has been drafted for use by customers of Kafico Ltd across Norfolk and Waveney. </w:t>
      </w:r>
    </w:p>
    <w:p w14:paraId="1D5F3621" w14:textId="77777777" w:rsidR="009A722F" w:rsidRDefault="009A722F" w:rsidP="009A722F">
      <w:r>
        <w:t>At the time of writing and unless alternative policies have been adopted locally, the policy applies to;</w:t>
      </w:r>
    </w:p>
    <w:tbl>
      <w:tblPr>
        <w:tblStyle w:val="TableGrid"/>
        <w:tblW w:w="9498" w:type="dxa"/>
        <w:tblInd w:w="-289" w:type="dxa"/>
        <w:tblLook w:val="04A0" w:firstRow="1" w:lastRow="0" w:firstColumn="1" w:lastColumn="0" w:noHBand="0" w:noVBand="1"/>
      </w:tblPr>
      <w:tblGrid>
        <w:gridCol w:w="3294"/>
        <w:gridCol w:w="3005"/>
        <w:gridCol w:w="3199"/>
      </w:tblGrid>
      <w:tr w:rsidR="009A722F" w:rsidRPr="003C451F" w14:paraId="2EE30435" w14:textId="77777777" w:rsidTr="00423003">
        <w:tc>
          <w:tcPr>
            <w:tcW w:w="3294" w:type="dxa"/>
          </w:tcPr>
          <w:p w14:paraId="68AC60C2" w14:textId="77777777" w:rsidR="009A722F" w:rsidRPr="003C451F" w:rsidRDefault="009A722F" w:rsidP="00423003">
            <w:pPr>
              <w:rPr>
                <w:sz w:val="20"/>
                <w:szCs w:val="20"/>
              </w:rPr>
            </w:pPr>
            <w:r w:rsidRPr="003C451F">
              <w:rPr>
                <w:sz w:val="20"/>
                <w:szCs w:val="20"/>
              </w:rPr>
              <w:t>Acle Medical Partnership</w:t>
            </w:r>
          </w:p>
        </w:tc>
        <w:tc>
          <w:tcPr>
            <w:tcW w:w="3005" w:type="dxa"/>
          </w:tcPr>
          <w:p w14:paraId="3808EB56" w14:textId="77777777" w:rsidR="009A722F" w:rsidRPr="003C451F" w:rsidRDefault="009A722F" w:rsidP="00423003">
            <w:pPr>
              <w:rPr>
                <w:sz w:val="20"/>
                <w:szCs w:val="20"/>
              </w:rPr>
            </w:pPr>
            <w:r w:rsidRPr="00C40A64">
              <w:rPr>
                <w:sz w:val="20"/>
                <w:szCs w:val="20"/>
              </w:rPr>
              <w:t>Boughton Doctors Surgery</w:t>
            </w:r>
          </w:p>
        </w:tc>
        <w:tc>
          <w:tcPr>
            <w:tcW w:w="3199" w:type="dxa"/>
          </w:tcPr>
          <w:p w14:paraId="49391B8E" w14:textId="77777777" w:rsidR="009A722F" w:rsidRPr="003C451F" w:rsidRDefault="009A722F" w:rsidP="00423003">
            <w:pPr>
              <w:rPr>
                <w:sz w:val="20"/>
                <w:szCs w:val="20"/>
              </w:rPr>
            </w:pPr>
            <w:r w:rsidRPr="00B6348F">
              <w:rPr>
                <w:sz w:val="20"/>
                <w:szCs w:val="20"/>
              </w:rPr>
              <w:t>Hellesdon Medical Practice</w:t>
            </w:r>
          </w:p>
        </w:tc>
      </w:tr>
      <w:tr w:rsidR="009A722F" w:rsidRPr="003C451F" w14:paraId="08548C1B" w14:textId="77777777" w:rsidTr="00423003">
        <w:tc>
          <w:tcPr>
            <w:tcW w:w="3294" w:type="dxa"/>
          </w:tcPr>
          <w:p w14:paraId="56253520" w14:textId="77777777" w:rsidR="009A722F" w:rsidRPr="003C451F" w:rsidRDefault="009A722F" w:rsidP="00423003">
            <w:pPr>
              <w:rPr>
                <w:sz w:val="20"/>
                <w:szCs w:val="20"/>
              </w:rPr>
            </w:pPr>
            <w:r w:rsidRPr="003C451F">
              <w:rPr>
                <w:sz w:val="20"/>
                <w:szCs w:val="20"/>
              </w:rPr>
              <w:t>Beccles Medical Centre</w:t>
            </w:r>
          </w:p>
        </w:tc>
        <w:tc>
          <w:tcPr>
            <w:tcW w:w="3005" w:type="dxa"/>
          </w:tcPr>
          <w:p w14:paraId="6C73FE97" w14:textId="77777777" w:rsidR="009A722F" w:rsidRPr="003C451F" w:rsidRDefault="009A722F" w:rsidP="00423003">
            <w:pPr>
              <w:rPr>
                <w:sz w:val="20"/>
                <w:szCs w:val="20"/>
              </w:rPr>
            </w:pPr>
            <w:r w:rsidRPr="005363B8">
              <w:rPr>
                <w:sz w:val="20"/>
                <w:szCs w:val="20"/>
              </w:rPr>
              <w:t>Bridge Street Surgery</w:t>
            </w:r>
          </w:p>
        </w:tc>
        <w:tc>
          <w:tcPr>
            <w:tcW w:w="3199" w:type="dxa"/>
          </w:tcPr>
          <w:p w14:paraId="38FACB43" w14:textId="77777777" w:rsidR="009A722F" w:rsidRPr="003C451F" w:rsidRDefault="009A722F" w:rsidP="00423003">
            <w:pPr>
              <w:rPr>
                <w:sz w:val="20"/>
                <w:szCs w:val="20"/>
              </w:rPr>
            </w:pPr>
            <w:r w:rsidRPr="00B6348F">
              <w:rPr>
                <w:sz w:val="20"/>
                <w:szCs w:val="20"/>
              </w:rPr>
              <w:t>Holt Medical Practice</w:t>
            </w:r>
          </w:p>
        </w:tc>
      </w:tr>
      <w:tr w:rsidR="009A722F" w:rsidRPr="003C451F" w14:paraId="4E51EB9A" w14:textId="77777777" w:rsidTr="00423003">
        <w:tc>
          <w:tcPr>
            <w:tcW w:w="3294" w:type="dxa"/>
          </w:tcPr>
          <w:p w14:paraId="2E8F9537" w14:textId="77777777" w:rsidR="009A722F" w:rsidRPr="003C451F" w:rsidRDefault="009A722F" w:rsidP="00423003">
            <w:pPr>
              <w:rPr>
                <w:sz w:val="20"/>
                <w:szCs w:val="20"/>
              </w:rPr>
            </w:pPr>
            <w:r w:rsidRPr="003C451F">
              <w:rPr>
                <w:sz w:val="20"/>
                <w:szCs w:val="20"/>
              </w:rPr>
              <w:t>Birchwood Surgery</w:t>
            </w:r>
          </w:p>
        </w:tc>
        <w:tc>
          <w:tcPr>
            <w:tcW w:w="3005" w:type="dxa"/>
          </w:tcPr>
          <w:p w14:paraId="555C3BAA" w14:textId="77777777" w:rsidR="009A722F" w:rsidRPr="003C451F" w:rsidRDefault="009A722F" w:rsidP="00423003">
            <w:pPr>
              <w:rPr>
                <w:sz w:val="20"/>
                <w:szCs w:val="20"/>
              </w:rPr>
            </w:pPr>
            <w:r w:rsidRPr="00401A3B">
              <w:rPr>
                <w:sz w:val="20"/>
                <w:szCs w:val="20"/>
              </w:rPr>
              <w:t>Cromer Group Practice</w:t>
            </w:r>
          </w:p>
        </w:tc>
        <w:tc>
          <w:tcPr>
            <w:tcW w:w="3199" w:type="dxa"/>
          </w:tcPr>
          <w:p w14:paraId="4E69DD0C" w14:textId="77777777" w:rsidR="009A722F" w:rsidRPr="003C451F" w:rsidRDefault="009A722F" w:rsidP="00423003">
            <w:pPr>
              <w:rPr>
                <w:sz w:val="20"/>
                <w:szCs w:val="20"/>
              </w:rPr>
            </w:pPr>
            <w:r w:rsidRPr="004658C0">
              <w:rPr>
                <w:sz w:val="20"/>
                <w:szCs w:val="20"/>
              </w:rPr>
              <w:t>Feltwell Surgery</w:t>
            </w:r>
          </w:p>
        </w:tc>
      </w:tr>
      <w:tr w:rsidR="009A722F" w:rsidRPr="003C451F" w14:paraId="122DBAA0" w14:textId="77777777" w:rsidTr="00423003">
        <w:tc>
          <w:tcPr>
            <w:tcW w:w="3294" w:type="dxa"/>
          </w:tcPr>
          <w:p w14:paraId="37C84F68" w14:textId="77777777" w:rsidR="009A722F" w:rsidRPr="003C451F" w:rsidRDefault="009A722F" w:rsidP="00423003">
            <w:pPr>
              <w:rPr>
                <w:sz w:val="20"/>
                <w:szCs w:val="20"/>
              </w:rPr>
            </w:pPr>
            <w:r w:rsidRPr="003C451F">
              <w:rPr>
                <w:sz w:val="20"/>
                <w:szCs w:val="20"/>
              </w:rPr>
              <w:lastRenderedPageBreak/>
              <w:t>Blofield Surgery</w:t>
            </w:r>
          </w:p>
        </w:tc>
        <w:tc>
          <w:tcPr>
            <w:tcW w:w="3005" w:type="dxa"/>
          </w:tcPr>
          <w:p w14:paraId="1A9B282B" w14:textId="77777777" w:rsidR="009A722F" w:rsidRPr="003C451F" w:rsidRDefault="009A722F" w:rsidP="00423003">
            <w:pPr>
              <w:rPr>
                <w:sz w:val="20"/>
                <w:szCs w:val="20"/>
              </w:rPr>
            </w:pPr>
            <w:r w:rsidRPr="00401A3B">
              <w:rPr>
                <w:sz w:val="20"/>
                <w:szCs w:val="20"/>
              </w:rPr>
              <w:t>St Clement's Surgery</w:t>
            </w:r>
          </w:p>
        </w:tc>
        <w:tc>
          <w:tcPr>
            <w:tcW w:w="3199" w:type="dxa"/>
          </w:tcPr>
          <w:p w14:paraId="4D60B5DD" w14:textId="77777777" w:rsidR="009A722F" w:rsidRPr="003C451F" w:rsidRDefault="009A722F" w:rsidP="00423003">
            <w:pPr>
              <w:rPr>
                <w:sz w:val="20"/>
                <w:szCs w:val="20"/>
              </w:rPr>
            </w:pPr>
            <w:r w:rsidRPr="00A53F79">
              <w:rPr>
                <w:sz w:val="20"/>
                <w:szCs w:val="20"/>
              </w:rPr>
              <w:t>Great Massingham and Docking Surgeries</w:t>
            </w:r>
          </w:p>
        </w:tc>
      </w:tr>
      <w:tr w:rsidR="009A722F" w:rsidRPr="003C451F" w14:paraId="15B80514" w14:textId="77777777" w:rsidTr="00423003">
        <w:tc>
          <w:tcPr>
            <w:tcW w:w="3294" w:type="dxa"/>
          </w:tcPr>
          <w:p w14:paraId="7F5D4FB5" w14:textId="77777777" w:rsidR="009A722F" w:rsidRPr="003C451F" w:rsidRDefault="009A722F" w:rsidP="00423003">
            <w:pPr>
              <w:rPr>
                <w:sz w:val="20"/>
                <w:szCs w:val="20"/>
              </w:rPr>
            </w:pPr>
            <w:r w:rsidRPr="003C451F">
              <w:rPr>
                <w:sz w:val="20"/>
                <w:szCs w:val="20"/>
              </w:rPr>
              <w:t>The Brundall Medical Centre</w:t>
            </w:r>
          </w:p>
        </w:tc>
        <w:tc>
          <w:tcPr>
            <w:tcW w:w="3005" w:type="dxa"/>
          </w:tcPr>
          <w:p w14:paraId="39C7CCD0" w14:textId="77777777" w:rsidR="009A722F" w:rsidRPr="003C451F" w:rsidRDefault="009A722F" w:rsidP="00423003">
            <w:pPr>
              <w:rPr>
                <w:sz w:val="20"/>
                <w:szCs w:val="20"/>
              </w:rPr>
            </w:pPr>
            <w:r w:rsidRPr="003C451F">
              <w:rPr>
                <w:sz w:val="20"/>
                <w:szCs w:val="20"/>
              </w:rPr>
              <w:t>Castle Partnership</w:t>
            </w:r>
          </w:p>
        </w:tc>
        <w:tc>
          <w:tcPr>
            <w:tcW w:w="3199" w:type="dxa"/>
          </w:tcPr>
          <w:p w14:paraId="41091D5B" w14:textId="77777777" w:rsidR="009A722F" w:rsidRPr="003C451F" w:rsidRDefault="009A722F" w:rsidP="00423003">
            <w:pPr>
              <w:rPr>
                <w:sz w:val="20"/>
                <w:szCs w:val="20"/>
              </w:rPr>
            </w:pPr>
            <w:r w:rsidRPr="004B0F49">
              <w:rPr>
                <w:sz w:val="20"/>
                <w:szCs w:val="20"/>
              </w:rPr>
              <w:t>The Harleston Medical Practice</w:t>
            </w:r>
          </w:p>
        </w:tc>
      </w:tr>
      <w:tr w:rsidR="009A722F" w:rsidRPr="003C451F" w14:paraId="5CC76869" w14:textId="77777777" w:rsidTr="00423003">
        <w:tc>
          <w:tcPr>
            <w:tcW w:w="3294" w:type="dxa"/>
          </w:tcPr>
          <w:p w14:paraId="4FA77BA6" w14:textId="77777777" w:rsidR="009A722F" w:rsidRPr="003C451F" w:rsidRDefault="009A722F" w:rsidP="00423003">
            <w:pPr>
              <w:rPr>
                <w:sz w:val="20"/>
                <w:szCs w:val="20"/>
              </w:rPr>
            </w:pPr>
            <w:r w:rsidRPr="003C451F">
              <w:rPr>
                <w:sz w:val="20"/>
                <w:szCs w:val="20"/>
              </w:rPr>
              <w:t>Coltishall Medical Practice</w:t>
            </w:r>
          </w:p>
        </w:tc>
        <w:tc>
          <w:tcPr>
            <w:tcW w:w="3005" w:type="dxa"/>
          </w:tcPr>
          <w:p w14:paraId="673F6FA9" w14:textId="77777777" w:rsidR="009A722F" w:rsidRPr="003C451F" w:rsidRDefault="009A722F" w:rsidP="00423003">
            <w:pPr>
              <w:rPr>
                <w:sz w:val="20"/>
                <w:szCs w:val="20"/>
              </w:rPr>
            </w:pPr>
            <w:r w:rsidRPr="00527FE6">
              <w:rPr>
                <w:sz w:val="20"/>
                <w:szCs w:val="20"/>
              </w:rPr>
              <w:t>The Burnhams Surgery</w:t>
            </w:r>
          </w:p>
        </w:tc>
        <w:tc>
          <w:tcPr>
            <w:tcW w:w="3199" w:type="dxa"/>
          </w:tcPr>
          <w:p w14:paraId="07AB96DE" w14:textId="77777777" w:rsidR="009A722F" w:rsidRPr="003C451F" w:rsidRDefault="009A722F" w:rsidP="00423003">
            <w:pPr>
              <w:rPr>
                <w:sz w:val="20"/>
                <w:szCs w:val="20"/>
              </w:rPr>
            </w:pPr>
            <w:r w:rsidRPr="004B0F49">
              <w:rPr>
                <w:sz w:val="20"/>
                <w:szCs w:val="20"/>
              </w:rPr>
              <w:t>Heacham Group Practice</w:t>
            </w:r>
          </w:p>
        </w:tc>
      </w:tr>
      <w:tr w:rsidR="009A722F" w:rsidRPr="003C451F" w14:paraId="36B8AA4C" w14:textId="77777777" w:rsidTr="00423003">
        <w:tc>
          <w:tcPr>
            <w:tcW w:w="3294" w:type="dxa"/>
          </w:tcPr>
          <w:p w14:paraId="68FD72F6" w14:textId="77777777" w:rsidR="009A722F" w:rsidRPr="003C451F" w:rsidRDefault="009A722F" w:rsidP="00423003">
            <w:pPr>
              <w:rPr>
                <w:sz w:val="20"/>
                <w:szCs w:val="20"/>
              </w:rPr>
            </w:pPr>
            <w:r w:rsidRPr="003C451F">
              <w:rPr>
                <w:sz w:val="20"/>
                <w:szCs w:val="20"/>
              </w:rPr>
              <w:t>Campingland Surgery</w:t>
            </w:r>
          </w:p>
        </w:tc>
        <w:tc>
          <w:tcPr>
            <w:tcW w:w="3005" w:type="dxa"/>
          </w:tcPr>
          <w:p w14:paraId="5E303A02" w14:textId="77777777" w:rsidR="009A722F" w:rsidRPr="003C451F" w:rsidRDefault="009A722F" w:rsidP="00423003">
            <w:pPr>
              <w:rPr>
                <w:sz w:val="20"/>
                <w:szCs w:val="20"/>
              </w:rPr>
            </w:pPr>
            <w:r w:rsidRPr="001C49ED">
              <w:rPr>
                <w:sz w:val="20"/>
                <w:szCs w:val="20"/>
              </w:rPr>
              <w:t>Drayton Surgery</w:t>
            </w:r>
          </w:p>
        </w:tc>
        <w:tc>
          <w:tcPr>
            <w:tcW w:w="3199" w:type="dxa"/>
          </w:tcPr>
          <w:p w14:paraId="7B2E351E" w14:textId="77777777" w:rsidR="009A722F" w:rsidRPr="003C451F" w:rsidRDefault="009A722F" w:rsidP="00423003">
            <w:pPr>
              <w:rPr>
                <w:sz w:val="20"/>
                <w:szCs w:val="20"/>
              </w:rPr>
            </w:pPr>
            <w:r w:rsidRPr="00EA13E4">
              <w:rPr>
                <w:sz w:val="20"/>
                <w:szCs w:val="20"/>
              </w:rPr>
              <w:t>St John's Surgery</w:t>
            </w:r>
          </w:p>
        </w:tc>
      </w:tr>
      <w:tr w:rsidR="009A722F" w:rsidRPr="003C451F" w14:paraId="19DEC98D" w14:textId="77777777" w:rsidTr="00423003">
        <w:tc>
          <w:tcPr>
            <w:tcW w:w="3294" w:type="dxa"/>
          </w:tcPr>
          <w:p w14:paraId="6569FCC0" w14:textId="77777777" w:rsidR="009A722F" w:rsidRPr="003C451F" w:rsidRDefault="009A722F" w:rsidP="00423003">
            <w:pPr>
              <w:rPr>
                <w:sz w:val="20"/>
                <w:szCs w:val="20"/>
              </w:rPr>
            </w:pPr>
            <w:r w:rsidRPr="003C451F">
              <w:rPr>
                <w:sz w:val="20"/>
                <w:szCs w:val="20"/>
              </w:rPr>
              <w:t>Hoveton &amp; Wroxham Medical Centre</w:t>
            </w:r>
          </w:p>
        </w:tc>
        <w:tc>
          <w:tcPr>
            <w:tcW w:w="3005" w:type="dxa"/>
          </w:tcPr>
          <w:p w14:paraId="2E12351B" w14:textId="77777777" w:rsidR="009A722F" w:rsidRPr="003C451F" w:rsidRDefault="009A722F" w:rsidP="00423003">
            <w:pPr>
              <w:rPr>
                <w:sz w:val="20"/>
                <w:szCs w:val="20"/>
              </w:rPr>
            </w:pPr>
            <w:r w:rsidRPr="000455AA">
              <w:rPr>
                <w:sz w:val="20"/>
                <w:szCs w:val="20"/>
              </w:rPr>
              <w:t>Roundwell Medical Centre</w:t>
            </w:r>
          </w:p>
        </w:tc>
        <w:tc>
          <w:tcPr>
            <w:tcW w:w="3199" w:type="dxa"/>
          </w:tcPr>
          <w:p w14:paraId="0B8C211B" w14:textId="77777777" w:rsidR="009A722F" w:rsidRPr="003C451F" w:rsidRDefault="009A722F" w:rsidP="00423003">
            <w:pPr>
              <w:rPr>
                <w:sz w:val="20"/>
                <w:szCs w:val="20"/>
              </w:rPr>
            </w:pPr>
            <w:r w:rsidRPr="003C451F">
              <w:rPr>
                <w:sz w:val="20"/>
                <w:szCs w:val="20"/>
              </w:rPr>
              <w:t>Staithe</w:t>
            </w:r>
            <w:r>
              <w:rPr>
                <w:sz w:val="20"/>
                <w:szCs w:val="20"/>
              </w:rPr>
              <w:t xml:space="preserve"> Surgery</w:t>
            </w:r>
          </w:p>
        </w:tc>
      </w:tr>
      <w:tr w:rsidR="009A722F" w:rsidRPr="003C451F" w14:paraId="77C24D9B" w14:textId="77777777" w:rsidTr="00423003">
        <w:tc>
          <w:tcPr>
            <w:tcW w:w="3294" w:type="dxa"/>
          </w:tcPr>
          <w:p w14:paraId="12E6D74E" w14:textId="77777777" w:rsidR="009A722F" w:rsidRPr="003C451F" w:rsidRDefault="009A722F" w:rsidP="00423003">
            <w:pPr>
              <w:rPr>
                <w:sz w:val="20"/>
                <w:szCs w:val="20"/>
              </w:rPr>
            </w:pPr>
            <w:r w:rsidRPr="003C451F">
              <w:rPr>
                <w:sz w:val="20"/>
                <w:szCs w:val="20"/>
              </w:rPr>
              <w:t>Ludham</w:t>
            </w:r>
            <w:r>
              <w:rPr>
                <w:sz w:val="20"/>
                <w:szCs w:val="20"/>
              </w:rPr>
              <w:t xml:space="preserve"> Surgery</w:t>
            </w:r>
          </w:p>
        </w:tc>
        <w:tc>
          <w:tcPr>
            <w:tcW w:w="3005" w:type="dxa"/>
          </w:tcPr>
          <w:p w14:paraId="3CDE7DD7" w14:textId="77777777" w:rsidR="009A722F" w:rsidRPr="003C451F" w:rsidRDefault="009A722F" w:rsidP="00423003">
            <w:pPr>
              <w:rPr>
                <w:sz w:val="20"/>
                <w:szCs w:val="20"/>
              </w:rPr>
            </w:pPr>
            <w:r w:rsidRPr="00F2775E">
              <w:rPr>
                <w:sz w:val="20"/>
                <w:szCs w:val="20"/>
              </w:rPr>
              <w:t>Paston Surgery</w:t>
            </w:r>
          </w:p>
        </w:tc>
        <w:tc>
          <w:tcPr>
            <w:tcW w:w="3199" w:type="dxa"/>
          </w:tcPr>
          <w:p w14:paraId="3E8E64EA" w14:textId="77777777" w:rsidR="009A722F" w:rsidRPr="003C451F" w:rsidRDefault="009A722F" w:rsidP="00423003">
            <w:pPr>
              <w:rPr>
                <w:sz w:val="20"/>
                <w:szCs w:val="20"/>
              </w:rPr>
            </w:pPr>
            <w:r w:rsidRPr="00545BA2">
              <w:rPr>
                <w:sz w:val="20"/>
                <w:szCs w:val="20"/>
              </w:rPr>
              <w:t>Thorpewood Surgery</w:t>
            </w:r>
          </w:p>
        </w:tc>
      </w:tr>
      <w:tr w:rsidR="009A722F" w:rsidRPr="003C451F" w14:paraId="34E1F250" w14:textId="77777777" w:rsidTr="00423003">
        <w:tc>
          <w:tcPr>
            <w:tcW w:w="3294" w:type="dxa"/>
          </w:tcPr>
          <w:p w14:paraId="74282306" w14:textId="77777777" w:rsidR="009A722F" w:rsidRPr="003C451F" w:rsidRDefault="009A722F" w:rsidP="00423003">
            <w:pPr>
              <w:rPr>
                <w:sz w:val="20"/>
                <w:szCs w:val="20"/>
              </w:rPr>
            </w:pPr>
            <w:r>
              <w:rPr>
                <w:sz w:val="20"/>
                <w:szCs w:val="20"/>
              </w:rPr>
              <w:t>The M</w:t>
            </w:r>
            <w:r w:rsidRPr="003C451F">
              <w:rPr>
                <w:sz w:val="20"/>
                <w:szCs w:val="20"/>
              </w:rPr>
              <w:t>arket Surgery</w:t>
            </w:r>
          </w:p>
        </w:tc>
        <w:tc>
          <w:tcPr>
            <w:tcW w:w="3005" w:type="dxa"/>
          </w:tcPr>
          <w:p w14:paraId="42D496CA" w14:textId="77777777" w:rsidR="009A722F" w:rsidRPr="003C451F" w:rsidRDefault="009A722F" w:rsidP="00423003">
            <w:pPr>
              <w:rPr>
                <w:sz w:val="20"/>
                <w:szCs w:val="20"/>
              </w:rPr>
            </w:pPr>
            <w:r w:rsidRPr="00F2775E">
              <w:rPr>
                <w:sz w:val="20"/>
                <w:szCs w:val="20"/>
              </w:rPr>
              <w:t>Prospect Medical Practice</w:t>
            </w:r>
          </w:p>
        </w:tc>
        <w:tc>
          <w:tcPr>
            <w:tcW w:w="3199" w:type="dxa"/>
          </w:tcPr>
          <w:p w14:paraId="70A995BA" w14:textId="77777777" w:rsidR="009A722F" w:rsidRPr="003C451F" w:rsidRDefault="009A722F" w:rsidP="00423003">
            <w:pPr>
              <w:rPr>
                <w:sz w:val="20"/>
                <w:szCs w:val="20"/>
              </w:rPr>
            </w:pPr>
            <w:r w:rsidRPr="004F496A">
              <w:rPr>
                <w:sz w:val="20"/>
                <w:szCs w:val="20"/>
              </w:rPr>
              <w:t>Upwell Health Centre and Welle Ltd</w:t>
            </w:r>
          </w:p>
        </w:tc>
      </w:tr>
      <w:tr w:rsidR="009A722F" w:rsidRPr="003C451F" w14:paraId="4E3CDC89" w14:textId="77777777" w:rsidTr="00423003">
        <w:tc>
          <w:tcPr>
            <w:tcW w:w="3294" w:type="dxa"/>
          </w:tcPr>
          <w:p w14:paraId="5B19B6B6" w14:textId="77777777" w:rsidR="009A722F" w:rsidRPr="003C451F" w:rsidRDefault="009A722F" w:rsidP="00423003">
            <w:pPr>
              <w:rPr>
                <w:sz w:val="20"/>
                <w:szCs w:val="20"/>
              </w:rPr>
            </w:pPr>
            <w:r w:rsidRPr="003C451F">
              <w:rPr>
                <w:sz w:val="20"/>
                <w:szCs w:val="20"/>
              </w:rPr>
              <w:t>Howdale</w:t>
            </w:r>
            <w:r>
              <w:rPr>
                <w:sz w:val="20"/>
                <w:szCs w:val="20"/>
              </w:rPr>
              <w:t xml:space="preserve"> Surgery</w:t>
            </w:r>
          </w:p>
        </w:tc>
        <w:tc>
          <w:tcPr>
            <w:tcW w:w="3005" w:type="dxa"/>
          </w:tcPr>
          <w:p w14:paraId="0483412F" w14:textId="77777777" w:rsidR="009A722F" w:rsidRPr="003C451F" w:rsidRDefault="009A722F" w:rsidP="00423003">
            <w:pPr>
              <w:rPr>
                <w:sz w:val="20"/>
                <w:szCs w:val="20"/>
              </w:rPr>
            </w:pPr>
            <w:r w:rsidRPr="008F1399">
              <w:rPr>
                <w:sz w:val="20"/>
                <w:szCs w:val="20"/>
              </w:rPr>
              <w:t>Sheringham Medical Practice</w:t>
            </w:r>
          </w:p>
        </w:tc>
        <w:tc>
          <w:tcPr>
            <w:tcW w:w="3199" w:type="dxa"/>
          </w:tcPr>
          <w:p w14:paraId="3A684C1E" w14:textId="77777777" w:rsidR="009A722F" w:rsidRPr="003C451F" w:rsidRDefault="009A722F" w:rsidP="00423003">
            <w:pPr>
              <w:rPr>
                <w:sz w:val="20"/>
                <w:szCs w:val="20"/>
              </w:rPr>
            </w:pPr>
            <w:r w:rsidRPr="00723456">
              <w:rPr>
                <w:sz w:val="20"/>
                <w:szCs w:val="20"/>
              </w:rPr>
              <w:t>Watlington Medical Centre</w:t>
            </w:r>
          </w:p>
        </w:tc>
      </w:tr>
      <w:tr w:rsidR="009A722F" w:rsidRPr="003C451F" w14:paraId="57C06BE3" w14:textId="77777777" w:rsidTr="00423003">
        <w:tc>
          <w:tcPr>
            <w:tcW w:w="3294" w:type="dxa"/>
          </w:tcPr>
          <w:p w14:paraId="0FE5521C" w14:textId="77777777" w:rsidR="009A722F" w:rsidRPr="003C451F" w:rsidRDefault="009A722F" w:rsidP="00423003">
            <w:pPr>
              <w:rPr>
                <w:sz w:val="20"/>
                <w:szCs w:val="20"/>
              </w:rPr>
            </w:pPr>
            <w:r w:rsidRPr="003C451F">
              <w:rPr>
                <w:sz w:val="20"/>
                <w:szCs w:val="20"/>
              </w:rPr>
              <w:t>Litcham Health Centre</w:t>
            </w:r>
          </w:p>
        </w:tc>
        <w:tc>
          <w:tcPr>
            <w:tcW w:w="3005" w:type="dxa"/>
          </w:tcPr>
          <w:p w14:paraId="6B8BA395" w14:textId="77777777" w:rsidR="009A722F" w:rsidRPr="003C451F" w:rsidRDefault="009A722F" w:rsidP="00423003">
            <w:pPr>
              <w:rPr>
                <w:sz w:val="20"/>
                <w:szCs w:val="20"/>
              </w:rPr>
            </w:pPr>
            <w:r w:rsidRPr="003C451F">
              <w:rPr>
                <w:sz w:val="20"/>
                <w:szCs w:val="20"/>
              </w:rPr>
              <w:t>Southgate and Woot</w:t>
            </w:r>
            <w:r>
              <w:rPr>
                <w:sz w:val="20"/>
                <w:szCs w:val="20"/>
              </w:rPr>
              <w:t>ton’s</w:t>
            </w:r>
          </w:p>
        </w:tc>
        <w:tc>
          <w:tcPr>
            <w:tcW w:w="3199" w:type="dxa"/>
          </w:tcPr>
          <w:p w14:paraId="670F79CC" w14:textId="77777777" w:rsidR="009A722F" w:rsidRPr="003C451F" w:rsidRDefault="009A722F" w:rsidP="00423003">
            <w:pPr>
              <w:rPr>
                <w:sz w:val="20"/>
                <w:szCs w:val="20"/>
              </w:rPr>
            </w:pPr>
            <w:r w:rsidRPr="003C451F">
              <w:rPr>
                <w:sz w:val="20"/>
                <w:szCs w:val="20"/>
              </w:rPr>
              <w:t>Wells Health Centre</w:t>
            </w:r>
          </w:p>
        </w:tc>
      </w:tr>
      <w:tr w:rsidR="009A722F" w:rsidRPr="003C451F" w14:paraId="53000DF5" w14:textId="77777777" w:rsidTr="00423003">
        <w:tc>
          <w:tcPr>
            <w:tcW w:w="3294" w:type="dxa"/>
          </w:tcPr>
          <w:p w14:paraId="0BF7C912" w14:textId="77777777" w:rsidR="009A722F" w:rsidRPr="003C451F" w:rsidRDefault="009A722F" w:rsidP="00423003">
            <w:pPr>
              <w:rPr>
                <w:sz w:val="20"/>
                <w:szCs w:val="20"/>
              </w:rPr>
            </w:pPr>
            <w:r w:rsidRPr="004671E3">
              <w:rPr>
                <w:sz w:val="20"/>
                <w:szCs w:val="20"/>
              </w:rPr>
              <w:t>Mundesley Medical Centre</w:t>
            </w:r>
          </w:p>
        </w:tc>
        <w:tc>
          <w:tcPr>
            <w:tcW w:w="3005" w:type="dxa"/>
          </w:tcPr>
          <w:p w14:paraId="3BE976B4" w14:textId="77777777" w:rsidR="009A722F" w:rsidRPr="003C451F" w:rsidRDefault="009A722F" w:rsidP="00423003">
            <w:pPr>
              <w:rPr>
                <w:sz w:val="20"/>
                <w:szCs w:val="20"/>
              </w:rPr>
            </w:pPr>
            <w:r w:rsidRPr="00536C7C">
              <w:rPr>
                <w:sz w:val="20"/>
                <w:szCs w:val="20"/>
              </w:rPr>
              <w:t>St James Medical Practice</w:t>
            </w:r>
          </w:p>
        </w:tc>
        <w:tc>
          <w:tcPr>
            <w:tcW w:w="3199" w:type="dxa"/>
          </w:tcPr>
          <w:p w14:paraId="067BB5F4" w14:textId="77777777" w:rsidR="009A722F" w:rsidRPr="003C451F" w:rsidRDefault="009A722F" w:rsidP="00423003">
            <w:pPr>
              <w:rPr>
                <w:sz w:val="20"/>
                <w:szCs w:val="20"/>
              </w:rPr>
            </w:pPr>
            <w:r>
              <w:rPr>
                <w:sz w:val="20"/>
                <w:szCs w:val="20"/>
              </w:rPr>
              <w:t>St Stephen’s Gate</w:t>
            </w:r>
          </w:p>
        </w:tc>
      </w:tr>
      <w:tr w:rsidR="009A722F" w:rsidRPr="003C451F" w14:paraId="764AD3BA" w14:textId="77777777" w:rsidTr="00423003">
        <w:tc>
          <w:tcPr>
            <w:tcW w:w="3294" w:type="dxa"/>
          </w:tcPr>
          <w:p w14:paraId="4424524F" w14:textId="77777777" w:rsidR="009A722F" w:rsidRPr="003C451F" w:rsidRDefault="009A722F" w:rsidP="00423003">
            <w:pPr>
              <w:rPr>
                <w:sz w:val="20"/>
                <w:szCs w:val="20"/>
              </w:rPr>
            </w:pPr>
            <w:r w:rsidRPr="004671E3">
              <w:rPr>
                <w:sz w:val="20"/>
                <w:szCs w:val="20"/>
              </w:rPr>
              <w:t>Manor Farm Medical Centre</w:t>
            </w:r>
          </w:p>
        </w:tc>
        <w:tc>
          <w:tcPr>
            <w:tcW w:w="3005" w:type="dxa"/>
          </w:tcPr>
          <w:p w14:paraId="40768687" w14:textId="77777777" w:rsidR="009A722F" w:rsidRPr="003C451F" w:rsidRDefault="009A722F" w:rsidP="00423003">
            <w:pPr>
              <w:rPr>
                <w:sz w:val="20"/>
                <w:szCs w:val="20"/>
              </w:rPr>
            </w:pPr>
            <w:r w:rsidRPr="008F2E5E">
              <w:rPr>
                <w:sz w:val="20"/>
                <w:szCs w:val="20"/>
              </w:rPr>
              <w:t>The Fakenham Medical Practice</w:t>
            </w:r>
          </w:p>
        </w:tc>
        <w:tc>
          <w:tcPr>
            <w:tcW w:w="3199" w:type="dxa"/>
          </w:tcPr>
          <w:p w14:paraId="1E13BD1D" w14:textId="77777777" w:rsidR="009A722F" w:rsidRPr="003C451F" w:rsidRDefault="009A722F" w:rsidP="00423003">
            <w:pPr>
              <w:rPr>
                <w:sz w:val="20"/>
                <w:szCs w:val="20"/>
              </w:rPr>
            </w:pPr>
            <w:r>
              <w:rPr>
                <w:sz w:val="20"/>
                <w:szCs w:val="20"/>
              </w:rPr>
              <w:t>Plowright Medical Centre</w:t>
            </w:r>
          </w:p>
        </w:tc>
      </w:tr>
      <w:tr w:rsidR="009A722F" w:rsidRPr="003C451F" w14:paraId="499F386F" w14:textId="77777777" w:rsidTr="00423003">
        <w:tc>
          <w:tcPr>
            <w:tcW w:w="3294" w:type="dxa"/>
          </w:tcPr>
          <w:p w14:paraId="2FA990BD" w14:textId="77777777" w:rsidR="009A722F" w:rsidRPr="004671E3" w:rsidRDefault="009A722F" w:rsidP="00423003">
            <w:pPr>
              <w:rPr>
                <w:sz w:val="20"/>
                <w:szCs w:val="20"/>
              </w:rPr>
            </w:pPr>
            <w:r w:rsidRPr="00B85E12">
              <w:rPr>
                <w:sz w:val="20"/>
                <w:szCs w:val="20"/>
              </w:rPr>
              <w:t>Grimston Medical Centre</w:t>
            </w:r>
          </w:p>
        </w:tc>
        <w:tc>
          <w:tcPr>
            <w:tcW w:w="3005" w:type="dxa"/>
          </w:tcPr>
          <w:p w14:paraId="17227A67" w14:textId="77777777" w:rsidR="009A722F" w:rsidRPr="008F2E5E" w:rsidRDefault="009A722F" w:rsidP="00423003">
            <w:pPr>
              <w:rPr>
                <w:sz w:val="20"/>
                <w:szCs w:val="20"/>
              </w:rPr>
            </w:pPr>
            <w:r w:rsidRPr="00A6071F">
              <w:rPr>
                <w:sz w:val="20"/>
                <w:szCs w:val="20"/>
              </w:rPr>
              <w:t>Aldborough</w:t>
            </w:r>
            <w:r>
              <w:rPr>
                <w:sz w:val="20"/>
                <w:szCs w:val="20"/>
              </w:rPr>
              <w:t xml:space="preserve"> Surgery</w:t>
            </w:r>
          </w:p>
        </w:tc>
        <w:tc>
          <w:tcPr>
            <w:tcW w:w="3199" w:type="dxa"/>
          </w:tcPr>
          <w:p w14:paraId="20BE8FCC" w14:textId="77777777" w:rsidR="009A722F" w:rsidRDefault="009A722F" w:rsidP="00423003">
            <w:pPr>
              <w:rPr>
                <w:sz w:val="20"/>
                <w:szCs w:val="20"/>
              </w:rPr>
            </w:pPr>
            <w:r w:rsidRPr="008E12A4">
              <w:rPr>
                <w:sz w:val="20"/>
                <w:szCs w:val="20"/>
              </w:rPr>
              <w:t>Bacon Road</w:t>
            </w:r>
            <w:r>
              <w:rPr>
                <w:sz w:val="20"/>
                <w:szCs w:val="20"/>
              </w:rPr>
              <w:t xml:space="preserve"> / Taverham</w:t>
            </w:r>
          </w:p>
        </w:tc>
      </w:tr>
      <w:tr w:rsidR="009A722F" w:rsidRPr="003C451F" w14:paraId="2B970C5E" w14:textId="77777777" w:rsidTr="00423003">
        <w:tc>
          <w:tcPr>
            <w:tcW w:w="3294" w:type="dxa"/>
          </w:tcPr>
          <w:p w14:paraId="7C44E46B" w14:textId="77777777" w:rsidR="009A722F" w:rsidRPr="00B85E12" w:rsidRDefault="009A722F" w:rsidP="00423003">
            <w:pPr>
              <w:rPr>
                <w:sz w:val="20"/>
                <w:szCs w:val="20"/>
              </w:rPr>
            </w:pPr>
            <w:r w:rsidRPr="004D31FC">
              <w:rPr>
                <w:sz w:val="20"/>
                <w:szCs w:val="20"/>
              </w:rPr>
              <w:t>The Burnham Surgery</w:t>
            </w:r>
          </w:p>
        </w:tc>
        <w:tc>
          <w:tcPr>
            <w:tcW w:w="3005" w:type="dxa"/>
          </w:tcPr>
          <w:p w14:paraId="79FBE4DD" w14:textId="77777777" w:rsidR="009A722F" w:rsidRPr="00A6071F" w:rsidRDefault="009A722F" w:rsidP="00423003">
            <w:pPr>
              <w:rPr>
                <w:sz w:val="20"/>
                <w:szCs w:val="20"/>
              </w:rPr>
            </w:pPr>
            <w:r w:rsidRPr="001E5524">
              <w:rPr>
                <w:sz w:val="20"/>
                <w:szCs w:val="20"/>
              </w:rPr>
              <w:t>Reepham &amp; Alysham</w:t>
            </w:r>
            <w:r>
              <w:rPr>
                <w:sz w:val="20"/>
                <w:szCs w:val="20"/>
              </w:rPr>
              <w:t xml:space="preserve"> Surgery </w:t>
            </w:r>
          </w:p>
        </w:tc>
        <w:tc>
          <w:tcPr>
            <w:tcW w:w="3199" w:type="dxa"/>
          </w:tcPr>
          <w:p w14:paraId="4F87E633" w14:textId="77777777" w:rsidR="009A722F" w:rsidRPr="008E12A4" w:rsidRDefault="009A722F" w:rsidP="00423003">
            <w:pPr>
              <w:rPr>
                <w:sz w:val="20"/>
                <w:szCs w:val="20"/>
              </w:rPr>
            </w:pPr>
            <w:r w:rsidRPr="00712C04">
              <w:rPr>
                <w:sz w:val="20"/>
                <w:szCs w:val="20"/>
              </w:rPr>
              <w:t>Lakenham</w:t>
            </w:r>
            <w:r>
              <w:rPr>
                <w:sz w:val="20"/>
                <w:szCs w:val="20"/>
              </w:rPr>
              <w:t xml:space="preserve"> Surgery</w:t>
            </w:r>
          </w:p>
        </w:tc>
      </w:tr>
      <w:tr w:rsidR="009A722F" w:rsidRPr="003C451F" w14:paraId="075F3972" w14:textId="77777777" w:rsidTr="00423003">
        <w:tc>
          <w:tcPr>
            <w:tcW w:w="3294" w:type="dxa"/>
          </w:tcPr>
          <w:p w14:paraId="5CC243D2" w14:textId="77777777" w:rsidR="009A722F" w:rsidRPr="00B85E12" w:rsidRDefault="009A722F" w:rsidP="00423003">
            <w:pPr>
              <w:rPr>
                <w:sz w:val="20"/>
                <w:szCs w:val="20"/>
              </w:rPr>
            </w:pPr>
            <w:r w:rsidRPr="00F3271A">
              <w:rPr>
                <w:sz w:val="20"/>
                <w:szCs w:val="20"/>
              </w:rPr>
              <w:t>Oak Street</w:t>
            </w:r>
            <w:r>
              <w:rPr>
                <w:sz w:val="20"/>
                <w:szCs w:val="20"/>
              </w:rPr>
              <w:t xml:space="preserve"> Medical Practice</w:t>
            </w:r>
          </w:p>
        </w:tc>
        <w:tc>
          <w:tcPr>
            <w:tcW w:w="3005" w:type="dxa"/>
          </w:tcPr>
          <w:p w14:paraId="23B0A8AE" w14:textId="77777777" w:rsidR="009A722F" w:rsidRPr="00A6071F" w:rsidRDefault="009A722F" w:rsidP="00423003">
            <w:pPr>
              <w:rPr>
                <w:sz w:val="20"/>
                <w:szCs w:val="20"/>
              </w:rPr>
            </w:pPr>
            <w:r w:rsidRPr="002F2F19">
              <w:rPr>
                <w:sz w:val="20"/>
                <w:szCs w:val="20"/>
              </w:rPr>
              <w:t>UEA Medical Centre</w:t>
            </w:r>
          </w:p>
        </w:tc>
        <w:tc>
          <w:tcPr>
            <w:tcW w:w="3199" w:type="dxa"/>
          </w:tcPr>
          <w:p w14:paraId="4B43E970" w14:textId="77777777" w:rsidR="009A722F" w:rsidRPr="008E12A4" w:rsidRDefault="009A722F" w:rsidP="00423003">
            <w:pPr>
              <w:rPr>
                <w:sz w:val="20"/>
                <w:szCs w:val="20"/>
              </w:rPr>
            </w:pPr>
            <w:r w:rsidRPr="005F3FEA">
              <w:rPr>
                <w:sz w:val="20"/>
                <w:szCs w:val="20"/>
              </w:rPr>
              <w:t>Woodcock</w:t>
            </w:r>
            <w:r>
              <w:rPr>
                <w:sz w:val="20"/>
                <w:szCs w:val="20"/>
              </w:rPr>
              <w:t xml:space="preserve"> Road Surgery</w:t>
            </w:r>
          </w:p>
        </w:tc>
      </w:tr>
      <w:tr w:rsidR="009A722F" w:rsidRPr="003C451F" w14:paraId="7929BB7C" w14:textId="77777777" w:rsidTr="00423003">
        <w:tc>
          <w:tcPr>
            <w:tcW w:w="3294" w:type="dxa"/>
          </w:tcPr>
          <w:p w14:paraId="6B2B7007" w14:textId="77777777" w:rsidR="009A722F" w:rsidRPr="00F3271A" w:rsidRDefault="009A722F" w:rsidP="00423003">
            <w:pPr>
              <w:rPr>
                <w:sz w:val="20"/>
                <w:szCs w:val="20"/>
              </w:rPr>
            </w:pPr>
            <w:r>
              <w:rPr>
                <w:sz w:val="20"/>
                <w:szCs w:val="20"/>
              </w:rPr>
              <w:t>Old Catton Medical Practice</w:t>
            </w:r>
          </w:p>
        </w:tc>
        <w:tc>
          <w:tcPr>
            <w:tcW w:w="3005" w:type="dxa"/>
          </w:tcPr>
          <w:p w14:paraId="7C759D6C" w14:textId="77777777" w:rsidR="009A722F" w:rsidRPr="002F2F19" w:rsidRDefault="009A722F" w:rsidP="00423003">
            <w:pPr>
              <w:rPr>
                <w:sz w:val="20"/>
                <w:szCs w:val="20"/>
              </w:rPr>
            </w:pPr>
            <w:r w:rsidRPr="2F192A38">
              <w:rPr>
                <w:sz w:val="20"/>
                <w:szCs w:val="20"/>
              </w:rPr>
              <w:t>Alexandra Road</w:t>
            </w:r>
          </w:p>
        </w:tc>
        <w:tc>
          <w:tcPr>
            <w:tcW w:w="3199" w:type="dxa"/>
          </w:tcPr>
          <w:p w14:paraId="47253331" w14:textId="77777777" w:rsidR="009A722F" w:rsidRPr="005F3FEA" w:rsidRDefault="009A722F" w:rsidP="00423003">
            <w:pPr>
              <w:rPr>
                <w:sz w:val="20"/>
                <w:szCs w:val="20"/>
              </w:rPr>
            </w:pPr>
            <w:r w:rsidRPr="2F192A38">
              <w:rPr>
                <w:sz w:val="20"/>
                <w:szCs w:val="20"/>
              </w:rPr>
              <w:t>Andaman Surgery</w:t>
            </w:r>
          </w:p>
        </w:tc>
      </w:tr>
      <w:tr w:rsidR="009A722F" w14:paraId="170E009D" w14:textId="77777777" w:rsidTr="00423003">
        <w:tc>
          <w:tcPr>
            <w:tcW w:w="3294" w:type="dxa"/>
          </w:tcPr>
          <w:p w14:paraId="510A7856" w14:textId="77777777" w:rsidR="009A722F" w:rsidRDefault="009A722F" w:rsidP="00423003">
            <w:pPr>
              <w:rPr>
                <w:sz w:val="20"/>
                <w:szCs w:val="20"/>
              </w:rPr>
            </w:pPr>
            <w:r w:rsidRPr="2F192A38">
              <w:rPr>
                <w:sz w:val="20"/>
                <w:szCs w:val="20"/>
              </w:rPr>
              <w:t>Attleborough Surgery</w:t>
            </w:r>
          </w:p>
        </w:tc>
        <w:tc>
          <w:tcPr>
            <w:tcW w:w="3005" w:type="dxa"/>
          </w:tcPr>
          <w:p w14:paraId="19B7517D" w14:textId="77777777" w:rsidR="009A722F" w:rsidRDefault="009A722F" w:rsidP="00423003">
            <w:pPr>
              <w:rPr>
                <w:sz w:val="20"/>
                <w:szCs w:val="20"/>
              </w:rPr>
            </w:pPr>
            <w:r w:rsidRPr="2F192A38">
              <w:rPr>
                <w:sz w:val="20"/>
                <w:szCs w:val="20"/>
              </w:rPr>
              <w:t>Beechcroft and Old Palace</w:t>
            </w:r>
          </w:p>
        </w:tc>
        <w:tc>
          <w:tcPr>
            <w:tcW w:w="3199" w:type="dxa"/>
          </w:tcPr>
          <w:p w14:paraId="28BDDE83" w14:textId="77777777" w:rsidR="009A722F" w:rsidRDefault="009A722F" w:rsidP="00423003">
            <w:pPr>
              <w:rPr>
                <w:sz w:val="20"/>
                <w:szCs w:val="20"/>
              </w:rPr>
            </w:pPr>
            <w:r w:rsidRPr="2F192A38">
              <w:rPr>
                <w:sz w:val="20"/>
                <w:szCs w:val="20"/>
              </w:rPr>
              <w:t>Bridge Road</w:t>
            </w:r>
          </w:p>
        </w:tc>
      </w:tr>
      <w:tr w:rsidR="009A722F" w14:paraId="7FE05FE1" w14:textId="77777777" w:rsidTr="00423003">
        <w:tc>
          <w:tcPr>
            <w:tcW w:w="3294" w:type="dxa"/>
          </w:tcPr>
          <w:p w14:paraId="0F3A4348" w14:textId="77777777" w:rsidR="009A722F" w:rsidRDefault="009A722F" w:rsidP="00423003">
            <w:pPr>
              <w:rPr>
                <w:sz w:val="20"/>
                <w:szCs w:val="20"/>
              </w:rPr>
            </w:pPr>
            <w:r w:rsidRPr="2F192A38">
              <w:rPr>
                <w:sz w:val="20"/>
                <w:szCs w:val="20"/>
              </w:rPr>
              <w:t>Bungay Medical Practice</w:t>
            </w:r>
          </w:p>
        </w:tc>
        <w:tc>
          <w:tcPr>
            <w:tcW w:w="3005" w:type="dxa"/>
          </w:tcPr>
          <w:p w14:paraId="4933D621" w14:textId="77777777" w:rsidR="009A722F" w:rsidRDefault="009A722F" w:rsidP="00423003">
            <w:pPr>
              <w:rPr>
                <w:sz w:val="20"/>
                <w:szCs w:val="20"/>
              </w:rPr>
            </w:pPr>
            <w:r w:rsidRPr="2F192A38">
              <w:rPr>
                <w:sz w:val="20"/>
                <w:szCs w:val="20"/>
              </w:rPr>
              <w:t>Chet Valley Medical Practice</w:t>
            </w:r>
          </w:p>
        </w:tc>
        <w:tc>
          <w:tcPr>
            <w:tcW w:w="3199" w:type="dxa"/>
          </w:tcPr>
          <w:p w14:paraId="64AA99EF" w14:textId="77777777" w:rsidR="009A722F" w:rsidRDefault="009A722F" w:rsidP="00423003">
            <w:pPr>
              <w:rPr>
                <w:sz w:val="20"/>
                <w:szCs w:val="20"/>
              </w:rPr>
            </w:pPr>
            <w:r w:rsidRPr="2F192A38">
              <w:rPr>
                <w:sz w:val="20"/>
                <w:szCs w:val="20"/>
              </w:rPr>
              <w:t>Church Hill Surgery</w:t>
            </w:r>
          </w:p>
        </w:tc>
      </w:tr>
      <w:tr w:rsidR="009A722F" w14:paraId="1C6F6F28" w14:textId="77777777" w:rsidTr="00423003">
        <w:tc>
          <w:tcPr>
            <w:tcW w:w="3294" w:type="dxa"/>
          </w:tcPr>
          <w:p w14:paraId="5DCB36D1" w14:textId="77777777" w:rsidR="009A722F" w:rsidRDefault="009A722F" w:rsidP="00423003">
            <w:pPr>
              <w:rPr>
                <w:sz w:val="20"/>
                <w:szCs w:val="20"/>
              </w:rPr>
            </w:pPr>
            <w:r w:rsidRPr="2F192A38">
              <w:rPr>
                <w:sz w:val="20"/>
                <w:szCs w:val="20"/>
              </w:rPr>
              <w:t>Cringleford Surgery</w:t>
            </w:r>
          </w:p>
        </w:tc>
        <w:tc>
          <w:tcPr>
            <w:tcW w:w="3005" w:type="dxa"/>
          </w:tcPr>
          <w:p w14:paraId="5802E856" w14:textId="77777777" w:rsidR="009A722F" w:rsidRDefault="009A722F" w:rsidP="00423003">
            <w:pPr>
              <w:rPr>
                <w:sz w:val="20"/>
                <w:szCs w:val="20"/>
              </w:rPr>
            </w:pPr>
            <w:r w:rsidRPr="2F192A38">
              <w:rPr>
                <w:sz w:val="20"/>
                <w:szCs w:val="20"/>
              </w:rPr>
              <w:t>Cutlers Hill Surgery</w:t>
            </w:r>
          </w:p>
        </w:tc>
        <w:tc>
          <w:tcPr>
            <w:tcW w:w="3199" w:type="dxa"/>
          </w:tcPr>
          <w:p w14:paraId="0298011D" w14:textId="77777777" w:rsidR="009A722F" w:rsidRDefault="009A722F" w:rsidP="00423003">
            <w:pPr>
              <w:rPr>
                <w:sz w:val="20"/>
                <w:szCs w:val="20"/>
              </w:rPr>
            </w:pPr>
            <w:r w:rsidRPr="2F192A38">
              <w:rPr>
                <w:sz w:val="20"/>
                <w:szCs w:val="20"/>
              </w:rPr>
              <w:t>East Harling Surgery</w:t>
            </w:r>
          </w:p>
        </w:tc>
      </w:tr>
      <w:tr w:rsidR="009A722F" w14:paraId="7264F794" w14:textId="77777777" w:rsidTr="00423003">
        <w:tc>
          <w:tcPr>
            <w:tcW w:w="3294" w:type="dxa"/>
          </w:tcPr>
          <w:p w14:paraId="7A081F28" w14:textId="77777777" w:rsidR="009A722F" w:rsidRDefault="009A722F" w:rsidP="00423003">
            <w:pPr>
              <w:rPr>
                <w:sz w:val="20"/>
                <w:szCs w:val="20"/>
              </w:rPr>
            </w:pPr>
            <w:r w:rsidRPr="2F192A38">
              <w:rPr>
                <w:sz w:val="20"/>
                <w:szCs w:val="20"/>
              </w:rPr>
              <w:t>East Norfolk Medical Practice</w:t>
            </w:r>
          </w:p>
        </w:tc>
        <w:tc>
          <w:tcPr>
            <w:tcW w:w="3005" w:type="dxa"/>
          </w:tcPr>
          <w:p w14:paraId="24A03945" w14:textId="77777777" w:rsidR="009A722F" w:rsidRDefault="009A722F" w:rsidP="00423003">
            <w:pPr>
              <w:rPr>
                <w:sz w:val="20"/>
                <w:szCs w:val="20"/>
              </w:rPr>
            </w:pPr>
            <w:r w:rsidRPr="2F192A38">
              <w:rPr>
                <w:sz w:val="20"/>
                <w:szCs w:val="20"/>
              </w:rPr>
              <w:t>Elmham Surgery</w:t>
            </w:r>
          </w:p>
        </w:tc>
        <w:tc>
          <w:tcPr>
            <w:tcW w:w="3199" w:type="dxa"/>
          </w:tcPr>
          <w:p w14:paraId="31C1C9BC" w14:textId="77777777" w:rsidR="009A722F" w:rsidRDefault="009A722F" w:rsidP="00423003">
            <w:pPr>
              <w:rPr>
                <w:sz w:val="20"/>
                <w:szCs w:val="20"/>
              </w:rPr>
            </w:pPr>
            <w:r w:rsidRPr="2F192A38">
              <w:rPr>
                <w:sz w:val="20"/>
                <w:szCs w:val="20"/>
              </w:rPr>
              <w:t>Falkland Surgery</w:t>
            </w:r>
          </w:p>
        </w:tc>
      </w:tr>
      <w:tr w:rsidR="009A722F" w14:paraId="167851DC" w14:textId="77777777" w:rsidTr="00423003">
        <w:tc>
          <w:tcPr>
            <w:tcW w:w="3294" w:type="dxa"/>
          </w:tcPr>
          <w:p w14:paraId="267AD125" w14:textId="77777777" w:rsidR="009A722F" w:rsidRDefault="009A722F" w:rsidP="00423003">
            <w:pPr>
              <w:rPr>
                <w:sz w:val="20"/>
                <w:szCs w:val="20"/>
              </w:rPr>
            </w:pPr>
            <w:r w:rsidRPr="2F192A38">
              <w:rPr>
                <w:sz w:val="20"/>
                <w:szCs w:val="20"/>
              </w:rPr>
              <w:t>Fleggburgh Surgery</w:t>
            </w:r>
          </w:p>
        </w:tc>
        <w:tc>
          <w:tcPr>
            <w:tcW w:w="3005" w:type="dxa"/>
          </w:tcPr>
          <w:p w14:paraId="50B62CF7" w14:textId="77777777" w:rsidR="009A722F" w:rsidRDefault="009A722F" w:rsidP="00423003">
            <w:pPr>
              <w:rPr>
                <w:sz w:val="20"/>
                <w:szCs w:val="20"/>
              </w:rPr>
            </w:pPr>
            <w:r w:rsidRPr="2F192A38">
              <w:rPr>
                <w:sz w:val="20"/>
                <w:szCs w:val="20"/>
              </w:rPr>
              <w:t>Heathgate Medical Practice</w:t>
            </w:r>
          </w:p>
        </w:tc>
        <w:tc>
          <w:tcPr>
            <w:tcW w:w="3199" w:type="dxa"/>
          </w:tcPr>
          <w:p w14:paraId="77E7E63B" w14:textId="77777777" w:rsidR="009A722F" w:rsidRDefault="009A722F" w:rsidP="00423003">
            <w:pPr>
              <w:rPr>
                <w:sz w:val="20"/>
                <w:szCs w:val="20"/>
              </w:rPr>
            </w:pPr>
            <w:r w:rsidRPr="2F192A38">
              <w:rPr>
                <w:sz w:val="20"/>
                <w:szCs w:val="20"/>
              </w:rPr>
              <w:t>Hemsby Medical Centre</w:t>
            </w:r>
          </w:p>
        </w:tc>
      </w:tr>
      <w:tr w:rsidR="009A722F" w14:paraId="64D2148F" w14:textId="77777777" w:rsidTr="00423003">
        <w:tc>
          <w:tcPr>
            <w:tcW w:w="3294" w:type="dxa"/>
          </w:tcPr>
          <w:p w14:paraId="20E9121B" w14:textId="77777777" w:rsidR="009A722F" w:rsidRDefault="009A722F" w:rsidP="00423003">
            <w:pPr>
              <w:rPr>
                <w:sz w:val="20"/>
                <w:szCs w:val="20"/>
              </w:rPr>
            </w:pPr>
            <w:r w:rsidRPr="2F192A38">
              <w:rPr>
                <w:sz w:val="20"/>
                <w:szCs w:val="20"/>
              </w:rPr>
              <w:t>High Street Surgery</w:t>
            </w:r>
          </w:p>
        </w:tc>
        <w:tc>
          <w:tcPr>
            <w:tcW w:w="3005" w:type="dxa"/>
          </w:tcPr>
          <w:p w14:paraId="28685D97" w14:textId="77777777" w:rsidR="009A722F" w:rsidRDefault="009A722F" w:rsidP="00423003">
            <w:pPr>
              <w:rPr>
                <w:sz w:val="20"/>
                <w:szCs w:val="20"/>
              </w:rPr>
            </w:pPr>
            <w:r w:rsidRPr="2F192A38">
              <w:rPr>
                <w:sz w:val="20"/>
                <w:szCs w:val="20"/>
              </w:rPr>
              <w:t>Hingham Surgery</w:t>
            </w:r>
          </w:p>
        </w:tc>
        <w:tc>
          <w:tcPr>
            <w:tcW w:w="3199" w:type="dxa"/>
          </w:tcPr>
          <w:p w14:paraId="46DB4425" w14:textId="77777777" w:rsidR="009A722F" w:rsidRDefault="009A722F" w:rsidP="00423003">
            <w:pPr>
              <w:rPr>
                <w:sz w:val="20"/>
                <w:szCs w:val="20"/>
              </w:rPr>
            </w:pPr>
            <w:r w:rsidRPr="2F192A38">
              <w:rPr>
                <w:sz w:val="20"/>
                <w:szCs w:val="20"/>
              </w:rPr>
              <w:t>Hollies Surgery</w:t>
            </w:r>
          </w:p>
        </w:tc>
      </w:tr>
      <w:tr w:rsidR="009A722F" w14:paraId="6371EA3B" w14:textId="77777777" w:rsidTr="00423003">
        <w:tc>
          <w:tcPr>
            <w:tcW w:w="3294" w:type="dxa"/>
          </w:tcPr>
          <w:p w14:paraId="6A6B98F9" w14:textId="77777777" w:rsidR="009A722F" w:rsidRDefault="009A722F" w:rsidP="00423003">
            <w:pPr>
              <w:rPr>
                <w:sz w:val="20"/>
                <w:szCs w:val="20"/>
              </w:rPr>
            </w:pPr>
            <w:r w:rsidRPr="2F192A38">
              <w:rPr>
                <w:sz w:val="20"/>
                <w:szCs w:val="20"/>
              </w:rPr>
              <w:t>Humbleyard Practice</w:t>
            </w:r>
          </w:p>
        </w:tc>
        <w:tc>
          <w:tcPr>
            <w:tcW w:w="3005" w:type="dxa"/>
          </w:tcPr>
          <w:p w14:paraId="3CD87F4B" w14:textId="77777777" w:rsidR="009A722F" w:rsidRDefault="009A722F" w:rsidP="00423003">
            <w:pPr>
              <w:rPr>
                <w:sz w:val="20"/>
                <w:szCs w:val="20"/>
              </w:rPr>
            </w:pPr>
            <w:r w:rsidRPr="2F192A38">
              <w:rPr>
                <w:sz w:val="20"/>
                <w:szCs w:val="20"/>
              </w:rPr>
              <w:t>Lawns Medical Practice</w:t>
            </w:r>
          </w:p>
        </w:tc>
        <w:tc>
          <w:tcPr>
            <w:tcW w:w="3199" w:type="dxa"/>
          </w:tcPr>
          <w:p w14:paraId="58983D3B" w14:textId="77777777" w:rsidR="009A722F" w:rsidRDefault="009A722F" w:rsidP="00423003">
            <w:pPr>
              <w:rPr>
                <w:sz w:val="20"/>
                <w:szCs w:val="20"/>
              </w:rPr>
            </w:pPr>
            <w:r w:rsidRPr="2F192A38">
              <w:rPr>
                <w:sz w:val="20"/>
                <w:szCs w:val="20"/>
              </w:rPr>
              <w:t>Lawson Road Surgery</w:t>
            </w:r>
          </w:p>
        </w:tc>
      </w:tr>
      <w:tr w:rsidR="009A722F" w14:paraId="1EACDD85" w14:textId="77777777" w:rsidTr="00423003">
        <w:tc>
          <w:tcPr>
            <w:tcW w:w="3294" w:type="dxa"/>
          </w:tcPr>
          <w:p w14:paraId="2433C58F" w14:textId="77777777" w:rsidR="009A722F" w:rsidRDefault="009A722F" w:rsidP="00423003">
            <w:pPr>
              <w:rPr>
                <w:sz w:val="20"/>
                <w:szCs w:val="20"/>
              </w:rPr>
            </w:pPr>
            <w:r w:rsidRPr="2F192A38">
              <w:rPr>
                <w:sz w:val="20"/>
                <w:szCs w:val="20"/>
              </w:rPr>
              <w:t>Lighthouse Medical Centre</w:t>
            </w:r>
          </w:p>
        </w:tc>
        <w:tc>
          <w:tcPr>
            <w:tcW w:w="3005" w:type="dxa"/>
          </w:tcPr>
          <w:p w14:paraId="712EB68B" w14:textId="77777777" w:rsidR="009A722F" w:rsidRDefault="009A722F" w:rsidP="00423003">
            <w:pPr>
              <w:rPr>
                <w:sz w:val="20"/>
                <w:szCs w:val="20"/>
              </w:rPr>
            </w:pPr>
            <w:r w:rsidRPr="2F192A38">
              <w:rPr>
                <w:sz w:val="20"/>
                <w:szCs w:val="20"/>
              </w:rPr>
              <w:t>Lionwood Medical Practice</w:t>
            </w:r>
          </w:p>
        </w:tc>
        <w:tc>
          <w:tcPr>
            <w:tcW w:w="3199" w:type="dxa"/>
          </w:tcPr>
          <w:p w14:paraId="281DEA29" w14:textId="77777777" w:rsidR="009A722F" w:rsidRDefault="009A722F" w:rsidP="00423003">
            <w:pPr>
              <w:rPr>
                <w:sz w:val="20"/>
                <w:szCs w:val="20"/>
              </w:rPr>
            </w:pPr>
            <w:r w:rsidRPr="2F192A38">
              <w:rPr>
                <w:sz w:val="20"/>
                <w:szCs w:val="20"/>
              </w:rPr>
              <w:t>Long Stratton Medical Partnership</w:t>
            </w:r>
          </w:p>
        </w:tc>
      </w:tr>
      <w:tr w:rsidR="009A722F" w14:paraId="311224C1" w14:textId="77777777" w:rsidTr="00423003">
        <w:tc>
          <w:tcPr>
            <w:tcW w:w="3294" w:type="dxa"/>
          </w:tcPr>
          <w:p w14:paraId="68BAFAC0" w14:textId="77777777" w:rsidR="009A722F" w:rsidRDefault="009A722F" w:rsidP="00423003">
            <w:pPr>
              <w:rPr>
                <w:sz w:val="20"/>
                <w:szCs w:val="20"/>
              </w:rPr>
            </w:pPr>
            <w:r w:rsidRPr="2F192A38">
              <w:rPr>
                <w:sz w:val="20"/>
                <w:szCs w:val="20"/>
              </w:rPr>
              <w:t>Longshore Surgery</w:t>
            </w:r>
          </w:p>
        </w:tc>
        <w:tc>
          <w:tcPr>
            <w:tcW w:w="3005" w:type="dxa"/>
          </w:tcPr>
          <w:p w14:paraId="683283DF" w14:textId="77777777" w:rsidR="009A722F" w:rsidRDefault="009A722F" w:rsidP="00423003">
            <w:pPr>
              <w:rPr>
                <w:sz w:val="20"/>
                <w:szCs w:val="20"/>
              </w:rPr>
            </w:pPr>
            <w:r w:rsidRPr="2F192A38">
              <w:rPr>
                <w:sz w:val="20"/>
                <w:szCs w:val="20"/>
              </w:rPr>
              <w:t>Magdalen Medical Practice</w:t>
            </w:r>
          </w:p>
        </w:tc>
        <w:tc>
          <w:tcPr>
            <w:tcW w:w="3199" w:type="dxa"/>
          </w:tcPr>
          <w:p w14:paraId="74F9DFF8" w14:textId="77777777" w:rsidR="009A722F" w:rsidRDefault="009A722F" w:rsidP="00423003">
            <w:pPr>
              <w:rPr>
                <w:sz w:val="20"/>
                <w:szCs w:val="20"/>
              </w:rPr>
            </w:pPr>
            <w:r w:rsidRPr="2F192A38">
              <w:rPr>
                <w:sz w:val="20"/>
                <w:szCs w:val="20"/>
              </w:rPr>
              <w:t>Mattishall Surgery</w:t>
            </w:r>
          </w:p>
        </w:tc>
      </w:tr>
      <w:tr w:rsidR="009A722F" w14:paraId="7F9145F4" w14:textId="77777777" w:rsidTr="00423003">
        <w:tc>
          <w:tcPr>
            <w:tcW w:w="3294" w:type="dxa"/>
          </w:tcPr>
          <w:p w14:paraId="2018DD1A" w14:textId="77777777" w:rsidR="009A722F" w:rsidRDefault="009A722F" w:rsidP="00423003">
            <w:pPr>
              <w:rPr>
                <w:sz w:val="20"/>
                <w:szCs w:val="20"/>
              </w:rPr>
            </w:pPr>
            <w:r w:rsidRPr="2F192A38">
              <w:rPr>
                <w:sz w:val="20"/>
                <w:szCs w:val="20"/>
              </w:rPr>
              <w:t>Millwood Surgery</w:t>
            </w:r>
          </w:p>
        </w:tc>
        <w:tc>
          <w:tcPr>
            <w:tcW w:w="3005" w:type="dxa"/>
          </w:tcPr>
          <w:p w14:paraId="74E6F1E1" w14:textId="77777777" w:rsidR="009A722F" w:rsidRDefault="009A722F" w:rsidP="00423003">
            <w:pPr>
              <w:rPr>
                <w:sz w:val="20"/>
                <w:szCs w:val="20"/>
              </w:rPr>
            </w:pPr>
            <w:r w:rsidRPr="2F192A38">
              <w:rPr>
                <w:sz w:val="20"/>
                <w:szCs w:val="20"/>
              </w:rPr>
              <w:t>Old Mill Surgery</w:t>
            </w:r>
          </w:p>
        </w:tc>
        <w:tc>
          <w:tcPr>
            <w:tcW w:w="3199" w:type="dxa"/>
          </w:tcPr>
          <w:p w14:paraId="5ADA30DC" w14:textId="77777777" w:rsidR="009A722F" w:rsidRDefault="009A722F" w:rsidP="00423003">
            <w:pPr>
              <w:rPr>
                <w:sz w:val="20"/>
                <w:szCs w:val="20"/>
              </w:rPr>
            </w:pPr>
            <w:r w:rsidRPr="2F192A38">
              <w:rPr>
                <w:sz w:val="20"/>
                <w:szCs w:val="20"/>
              </w:rPr>
              <w:t>Orchard Surgery</w:t>
            </w:r>
          </w:p>
        </w:tc>
      </w:tr>
      <w:tr w:rsidR="009A722F" w14:paraId="68FC7B58" w14:textId="77777777" w:rsidTr="00423003">
        <w:tc>
          <w:tcPr>
            <w:tcW w:w="3294" w:type="dxa"/>
          </w:tcPr>
          <w:p w14:paraId="0335A046" w14:textId="77777777" w:rsidR="009A722F" w:rsidRDefault="009A722F" w:rsidP="00423003">
            <w:pPr>
              <w:rPr>
                <w:sz w:val="20"/>
                <w:szCs w:val="20"/>
              </w:rPr>
            </w:pPr>
            <w:r w:rsidRPr="2F192A38">
              <w:rPr>
                <w:sz w:val="20"/>
                <w:szCs w:val="20"/>
              </w:rPr>
              <w:t>Rosedale Surgery</w:t>
            </w:r>
          </w:p>
        </w:tc>
        <w:tc>
          <w:tcPr>
            <w:tcW w:w="3005" w:type="dxa"/>
          </w:tcPr>
          <w:p w14:paraId="3B525002" w14:textId="77777777" w:rsidR="009A722F" w:rsidRDefault="009A722F" w:rsidP="00423003">
            <w:pPr>
              <w:rPr>
                <w:sz w:val="20"/>
                <w:szCs w:val="20"/>
              </w:rPr>
            </w:pPr>
            <w:r w:rsidRPr="2F192A38">
              <w:rPr>
                <w:sz w:val="20"/>
                <w:szCs w:val="20"/>
              </w:rPr>
              <w:t>School Lane Surgery</w:t>
            </w:r>
          </w:p>
        </w:tc>
        <w:tc>
          <w:tcPr>
            <w:tcW w:w="3199" w:type="dxa"/>
          </w:tcPr>
          <w:p w14:paraId="5FD42781" w14:textId="77777777" w:rsidR="009A722F" w:rsidRDefault="009A722F" w:rsidP="00423003">
            <w:pPr>
              <w:rPr>
                <w:sz w:val="20"/>
                <w:szCs w:val="20"/>
              </w:rPr>
            </w:pPr>
            <w:r w:rsidRPr="2F192A38">
              <w:rPr>
                <w:sz w:val="20"/>
                <w:szCs w:val="20"/>
              </w:rPr>
              <w:t>Shipdham Surgery</w:t>
            </w:r>
          </w:p>
        </w:tc>
      </w:tr>
      <w:tr w:rsidR="009A722F" w14:paraId="6F0AB367" w14:textId="77777777" w:rsidTr="00423003">
        <w:tc>
          <w:tcPr>
            <w:tcW w:w="3294" w:type="dxa"/>
          </w:tcPr>
          <w:p w14:paraId="3914C5FF" w14:textId="77777777" w:rsidR="009A722F" w:rsidRDefault="009A722F" w:rsidP="00423003">
            <w:pPr>
              <w:rPr>
                <w:sz w:val="20"/>
                <w:szCs w:val="20"/>
              </w:rPr>
            </w:pPr>
            <w:r w:rsidRPr="2F192A38">
              <w:rPr>
                <w:sz w:val="20"/>
                <w:szCs w:val="20"/>
              </w:rPr>
              <w:t>Solebay Health Centre</w:t>
            </w:r>
          </w:p>
        </w:tc>
        <w:tc>
          <w:tcPr>
            <w:tcW w:w="3005" w:type="dxa"/>
          </w:tcPr>
          <w:p w14:paraId="6CFC981B" w14:textId="77777777" w:rsidR="009A722F" w:rsidRDefault="009A722F" w:rsidP="00423003">
            <w:pPr>
              <w:rPr>
                <w:sz w:val="20"/>
                <w:szCs w:val="20"/>
              </w:rPr>
            </w:pPr>
            <w:r w:rsidRPr="2F192A38">
              <w:rPr>
                <w:sz w:val="20"/>
                <w:szCs w:val="20"/>
              </w:rPr>
              <w:t>The Beaches Medical Centre</w:t>
            </w:r>
          </w:p>
        </w:tc>
        <w:tc>
          <w:tcPr>
            <w:tcW w:w="3199" w:type="dxa"/>
          </w:tcPr>
          <w:p w14:paraId="31644729" w14:textId="77777777" w:rsidR="009A722F" w:rsidRDefault="009A722F" w:rsidP="00423003">
            <w:pPr>
              <w:rPr>
                <w:sz w:val="20"/>
                <w:szCs w:val="20"/>
              </w:rPr>
            </w:pPr>
            <w:r w:rsidRPr="2F192A38">
              <w:rPr>
                <w:sz w:val="20"/>
                <w:szCs w:val="20"/>
              </w:rPr>
              <w:t>The Coastal Partnership</w:t>
            </w:r>
          </w:p>
        </w:tc>
      </w:tr>
      <w:tr w:rsidR="009A722F" w14:paraId="1D92F139" w14:textId="77777777" w:rsidTr="00423003">
        <w:tc>
          <w:tcPr>
            <w:tcW w:w="3294" w:type="dxa"/>
          </w:tcPr>
          <w:p w14:paraId="08916983" w14:textId="77777777" w:rsidR="009A722F" w:rsidRDefault="009A722F" w:rsidP="00423003">
            <w:pPr>
              <w:rPr>
                <w:sz w:val="20"/>
                <w:szCs w:val="20"/>
              </w:rPr>
            </w:pPr>
            <w:r w:rsidRPr="2F192A38">
              <w:rPr>
                <w:sz w:val="20"/>
                <w:szCs w:val="20"/>
              </w:rPr>
              <w:t>The Park Surgery</w:t>
            </w:r>
          </w:p>
        </w:tc>
        <w:tc>
          <w:tcPr>
            <w:tcW w:w="3005" w:type="dxa"/>
          </w:tcPr>
          <w:p w14:paraId="4D897A11" w14:textId="77777777" w:rsidR="009A722F" w:rsidRDefault="009A722F" w:rsidP="00423003">
            <w:pPr>
              <w:rPr>
                <w:sz w:val="20"/>
                <w:szCs w:val="20"/>
              </w:rPr>
            </w:pPr>
            <w:r w:rsidRPr="2F192A38">
              <w:rPr>
                <w:sz w:val="20"/>
                <w:szCs w:val="20"/>
              </w:rPr>
              <w:t>Theatre Royal Surgery</w:t>
            </w:r>
          </w:p>
        </w:tc>
        <w:tc>
          <w:tcPr>
            <w:tcW w:w="3199" w:type="dxa"/>
          </w:tcPr>
          <w:p w14:paraId="2E1CAFD9" w14:textId="77777777" w:rsidR="009A722F" w:rsidRDefault="009A722F" w:rsidP="00423003">
            <w:pPr>
              <w:rPr>
                <w:sz w:val="20"/>
                <w:szCs w:val="20"/>
              </w:rPr>
            </w:pPr>
            <w:r w:rsidRPr="2F192A38">
              <w:rPr>
                <w:sz w:val="20"/>
                <w:szCs w:val="20"/>
              </w:rPr>
              <w:t>Toftwood Medical</w:t>
            </w:r>
          </w:p>
        </w:tc>
      </w:tr>
      <w:tr w:rsidR="009A722F" w14:paraId="6842C3E7" w14:textId="77777777" w:rsidTr="00423003">
        <w:tc>
          <w:tcPr>
            <w:tcW w:w="3294" w:type="dxa"/>
          </w:tcPr>
          <w:p w14:paraId="293CE5EF" w14:textId="77777777" w:rsidR="009A722F" w:rsidRDefault="009A722F" w:rsidP="00423003">
            <w:pPr>
              <w:rPr>
                <w:sz w:val="20"/>
                <w:szCs w:val="20"/>
              </w:rPr>
            </w:pPr>
            <w:r w:rsidRPr="2F192A38">
              <w:rPr>
                <w:sz w:val="20"/>
                <w:szCs w:val="20"/>
              </w:rPr>
              <w:t>Trinity Street Surgery</w:t>
            </w:r>
          </w:p>
        </w:tc>
        <w:tc>
          <w:tcPr>
            <w:tcW w:w="3005" w:type="dxa"/>
          </w:tcPr>
          <w:p w14:paraId="204DCD94" w14:textId="77777777" w:rsidR="009A722F" w:rsidRDefault="009A722F" w:rsidP="00423003">
            <w:pPr>
              <w:rPr>
                <w:sz w:val="20"/>
                <w:szCs w:val="20"/>
              </w:rPr>
            </w:pPr>
            <w:r w:rsidRPr="2F192A38">
              <w:rPr>
                <w:sz w:val="20"/>
                <w:szCs w:val="20"/>
              </w:rPr>
              <w:t>Victoria Road</w:t>
            </w:r>
          </w:p>
        </w:tc>
        <w:tc>
          <w:tcPr>
            <w:tcW w:w="3199" w:type="dxa"/>
          </w:tcPr>
          <w:p w14:paraId="63D472BE" w14:textId="77777777" w:rsidR="009A722F" w:rsidRDefault="009A722F" w:rsidP="00423003">
            <w:pPr>
              <w:rPr>
                <w:sz w:val="20"/>
                <w:szCs w:val="20"/>
              </w:rPr>
            </w:pPr>
            <w:r w:rsidRPr="2F192A38">
              <w:rPr>
                <w:sz w:val="20"/>
                <w:szCs w:val="20"/>
              </w:rPr>
              <w:t>Watton Medical Practice</w:t>
            </w:r>
          </w:p>
        </w:tc>
      </w:tr>
      <w:tr w:rsidR="009A722F" w14:paraId="49FC7ECF" w14:textId="77777777" w:rsidTr="00423003">
        <w:tc>
          <w:tcPr>
            <w:tcW w:w="3294" w:type="dxa"/>
          </w:tcPr>
          <w:p w14:paraId="64626FCC" w14:textId="77777777" w:rsidR="009A722F" w:rsidRDefault="009A722F" w:rsidP="00423003">
            <w:pPr>
              <w:rPr>
                <w:sz w:val="20"/>
                <w:szCs w:val="20"/>
              </w:rPr>
            </w:pPr>
            <w:r w:rsidRPr="2F192A38">
              <w:rPr>
                <w:sz w:val="20"/>
                <w:szCs w:val="20"/>
              </w:rPr>
              <w:t>West Pottergate Medical Practice</w:t>
            </w:r>
          </w:p>
        </w:tc>
        <w:tc>
          <w:tcPr>
            <w:tcW w:w="3005" w:type="dxa"/>
          </w:tcPr>
          <w:p w14:paraId="2F67E11E" w14:textId="77777777" w:rsidR="009A722F" w:rsidRDefault="009A722F" w:rsidP="00423003">
            <w:pPr>
              <w:rPr>
                <w:sz w:val="20"/>
                <w:szCs w:val="20"/>
              </w:rPr>
            </w:pPr>
            <w:r w:rsidRPr="2F192A38">
              <w:rPr>
                <w:sz w:val="20"/>
                <w:szCs w:val="20"/>
              </w:rPr>
              <w:t>Windmill Surgery</w:t>
            </w:r>
          </w:p>
        </w:tc>
        <w:tc>
          <w:tcPr>
            <w:tcW w:w="3199" w:type="dxa"/>
          </w:tcPr>
          <w:p w14:paraId="3F3406FA" w14:textId="77777777" w:rsidR="009A722F" w:rsidRDefault="009A722F" w:rsidP="00423003">
            <w:pPr>
              <w:rPr>
                <w:sz w:val="20"/>
                <w:szCs w:val="20"/>
              </w:rPr>
            </w:pPr>
            <w:r w:rsidRPr="2F192A38">
              <w:rPr>
                <w:sz w:val="20"/>
                <w:szCs w:val="20"/>
              </w:rPr>
              <w:t>Wymondham Medical Practice</w:t>
            </w:r>
          </w:p>
        </w:tc>
      </w:tr>
    </w:tbl>
    <w:p w14:paraId="1289373A" w14:textId="77777777" w:rsidR="003D51CA" w:rsidRPr="003D51CA" w:rsidRDefault="003D51CA" w:rsidP="003D51CA"/>
    <w:p w14:paraId="4022E063" w14:textId="60F0DACD" w:rsidR="00B94E5A" w:rsidRDefault="00F03257" w:rsidP="00F03257">
      <w:pPr>
        <w:pStyle w:val="Heading1"/>
      </w:pPr>
      <w:bookmarkStart w:id="4" w:name="_Toc66882526"/>
      <w:r>
        <w:lastRenderedPageBreak/>
        <w:t>Statutory Mandatory Framework</w:t>
      </w:r>
      <w:bookmarkEnd w:id="4"/>
    </w:p>
    <w:p w14:paraId="77841504" w14:textId="7337C44F" w:rsidR="001A2A82" w:rsidRDefault="003D5CF6" w:rsidP="00A55A7F">
      <w:r>
        <w:t xml:space="preserve">Data Protection legislation mandates the implementation of appropriate organisational and technical measures to ensure the confidentiality, availability and integrity of </w:t>
      </w:r>
      <w:r w:rsidR="00B5607D">
        <w:rPr>
          <w:b/>
        </w:rPr>
        <w:t>The Practice</w:t>
      </w:r>
      <w:r>
        <w:t xml:space="preserve">’s information assets from unauthorised access, loss, theft or from cyber threats and vulnerabilities. The protocol has been developed with reference to Cyber Essentials and the </w:t>
      </w:r>
      <w:r w:rsidR="00045F8D">
        <w:t>Data Security and Protection</w:t>
      </w:r>
      <w:r>
        <w:t xml:space="preserve"> Toolkit.</w:t>
      </w:r>
    </w:p>
    <w:p w14:paraId="150710AB" w14:textId="77777777" w:rsidR="00B94E5A" w:rsidRDefault="00B94E5A" w:rsidP="00163DF8">
      <w:pPr>
        <w:pStyle w:val="Heading1"/>
      </w:pPr>
      <w:bookmarkStart w:id="5" w:name="_Toc66882527"/>
      <w:r>
        <w:t>Accountable Parties</w:t>
      </w:r>
      <w:bookmarkEnd w:id="5"/>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0247E827" w:rsidR="00735409" w:rsidRDefault="00735409" w:rsidP="00735409">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1A2A82">
        <w:t xml:space="preserve">effective reporting and management of information </w:t>
      </w:r>
      <w:r w:rsidR="00C73F25">
        <w:t>security</w:t>
      </w:r>
      <w:r w:rsidR="0011199B">
        <w:t xml:space="preserve"> </w:t>
      </w:r>
      <w:r w:rsidR="00C04132">
        <w:t>for</w:t>
      </w:r>
      <w:r w:rsidR="0011199B">
        <w:t xml:space="preserve"> </w:t>
      </w:r>
      <w:r w:rsidR="00B5607D">
        <w:rPr>
          <w:b/>
        </w:rPr>
        <w:t>The Practice</w:t>
      </w:r>
      <w:r w:rsidRPr="00482CBD">
        <w:t>.</w:t>
      </w:r>
      <w:r>
        <w:t xml:space="preserve"> Employees have a contractual and legal obligation to read and comply with all policies and to attend mandatory training to support the appropriate management of information.</w:t>
      </w:r>
    </w:p>
    <w:p w14:paraId="0479843A" w14:textId="4FB04738" w:rsidR="00ED5CD6" w:rsidRPr="00C04132" w:rsidRDefault="00C04132" w:rsidP="00ED5CD6">
      <w:pPr>
        <w:pStyle w:val="Heading1"/>
      </w:pPr>
      <w:bookmarkStart w:id="6" w:name="_Toc66882528"/>
      <w:r w:rsidRPr="00C04132">
        <w:t>Introduction</w:t>
      </w:r>
      <w:bookmarkEnd w:id="6"/>
    </w:p>
    <w:p w14:paraId="6F9FA6A2" w14:textId="25D2AE69" w:rsidR="00C04132" w:rsidRPr="00C04132" w:rsidRDefault="00C04132" w:rsidP="00C04132">
      <w:pPr>
        <w:ind w:left="720" w:right="-694" w:hanging="720"/>
      </w:pPr>
      <w:r w:rsidRPr="00C04132">
        <w:t>Information security is made up of three major concepts;</w:t>
      </w:r>
    </w:p>
    <w:p w14:paraId="473BD5C3" w14:textId="7FCEBA5C" w:rsidR="00C04132" w:rsidRPr="00C04132" w:rsidRDefault="00C04132" w:rsidP="00C04132">
      <w:pPr>
        <w:pStyle w:val="ListParagraph"/>
        <w:numPr>
          <w:ilvl w:val="0"/>
          <w:numId w:val="25"/>
        </w:numPr>
        <w:spacing w:after="0" w:line="240" w:lineRule="auto"/>
        <w:ind w:right="-694"/>
      </w:pPr>
      <w:r w:rsidRPr="00C04132">
        <w:t xml:space="preserve">Confidentiality: </w:t>
      </w:r>
      <w:r>
        <w:tab/>
        <w:t>information</w:t>
      </w:r>
      <w:r w:rsidRPr="00C04132">
        <w:t xml:space="preserve"> will only be available to a limited number of individuals </w:t>
      </w:r>
    </w:p>
    <w:p w14:paraId="5D8484E9" w14:textId="0EA8ADD9" w:rsidR="00C04132" w:rsidRPr="00C04132" w:rsidRDefault="00C04132" w:rsidP="00C04132">
      <w:pPr>
        <w:pStyle w:val="ListParagraph"/>
        <w:numPr>
          <w:ilvl w:val="0"/>
          <w:numId w:val="25"/>
        </w:numPr>
        <w:spacing w:after="0" w:line="240" w:lineRule="auto"/>
        <w:ind w:right="-694"/>
      </w:pPr>
      <w:r w:rsidRPr="00C04132">
        <w:t xml:space="preserve">Integrity: </w:t>
      </w:r>
      <w:r>
        <w:tab/>
      </w:r>
      <w:r>
        <w:tab/>
      </w:r>
      <w:r w:rsidRPr="00C04132">
        <w:t>information is useful, complete and accurate and remains so.</w:t>
      </w:r>
    </w:p>
    <w:p w14:paraId="3FEBCE23" w14:textId="782226CF" w:rsidR="00C04132" w:rsidRPr="00C04132" w:rsidRDefault="00C04132" w:rsidP="00C04132">
      <w:pPr>
        <w:pStyle w:val="ListParagraph"/>
        <w:numPr>
          <w:ilvl w:val="0"/>
          <w:numId w:val="25"/>
        </w:numPr>
        <w:spacing w:after="0" w:line="240" w:lineRule="auto"/>
        <w:ind w:right="-694"/>
      </w:pPr>
      <w:r w:rsidRPr="00C04132">
        <w:t xml:space="preserve">Availability: </w:t>
      </w:r>
      <w:r>
        <w:tab/>
      </w:r>
      <w:r w:rsidRPr="00C04132">
        <w:t>that information is available when and as required</w:t>
      </w:r>
      <w:r w:rsidRPr="00C04132">
        <w:footnoteReference w:id="1"/>
      </w:r>
      <w:r w:rsidRPr="00C04132">
        <w:t>.</w:t>
      </w:r>
    </w:p>
    <w:p w14:paraId="0977E91D" w14:textId="29924B22" w:rsidR="00A55A7F" w:rsidRDefault="00A55A7F" w:rsidP="00C04132">
      <w:pPr>
        <w:pStyle w:val="BodyText"/>
        <w:jc w:val="both"/>
        <w:rPr>
          <w:b/>
        </w:rPr>
      </w:pPr>
    </w:p>
    <w:p w14:paraId="2C35907F" w14:textId="053ED497" w:rsidR="00E04214" w:rsidRDefault="008C3BA8" w:rsidP="008C3BA8">
      <w:pPr>
        <w:pStyle w:val="Default"/>
        <w:spacing w:before="120" w:line="360" w:lineRule="auto"/>
        <w:rPr>
          <w:rFonts w:ascii="Arial Nova Light" w:eastAsia="Verdana" w:hAnsi="Arial Nova Light" w:cs="Verdana"/>
          <w:color w:val="auto"/>
          <w:sz w:val="22"/>
          <w:szCs w:val="20"/>
          <w:lang w:val="en-US" w:eastAsia="en-US"/>
        </w:rPr>
      </w:pPr>
      <w:r w:rsidRPr="008C3BA8">
        <w:rPr>
          <w:rFonts w:ascii="Arial Nova Light" w:eastAsia="Verdana" w:hAnsi="Arial Nova Light" w:cs="Verdana"/>
          <w:color w:val="auto"/>
          <w:sz w:val="22"/>
          <w:szCs w:val="20"/>
          <w:lang w:val="en-US" w:eastAsia="en-US"/>
        </w:rPr>
        <w:t xml:space="preserve">Without </w:t>
      </w:r>
      <w:r w:rsidR="000269C4" w:rsidRPr="008C3BA8">
        <w:rPr>
          <w:rFonts w:ascii="Arial Nova Light" w:eastAsia="Verdana" w:hAnsi="Arial Nova Light" w:cs="Verdana"/>
          <w:color w:val="auto"/>
          <w:sz w:val="22"/>
          <w:szCs w:val="20"/>
          <w:lang w:val="en-US" w:eastAsia="en-US"/>
        </w:rPr>
        <w:t>high standards</w:t>
      </w:r>
      <w:r w:rsidRPr="008C3BA8">
        <w:rPr>
          <w:rFonts w:ascii="Arial Nova Light" w:eastAsia="Verdana" w:hAnsi="Arial Nova Light" w:cs="Verdana"/>
          <w:color w:val="auto"/>
          <w:sz w:val="22"/>
          <w:szCs w:val="20"/>
          <w:lang w:val="en-US" w:eastAsia="en-US"/>
        </w:rPr>
        <w:t xml:space="preserve"> of information </w:t>
      </w:r>
      <w:r w:rsidR="00C04132">
        <w:rPr>
          <w:rFonts w:ascii="Arial Nova Light" w:eastAsia="Verdana" w:hAnsi="Arial Nova Light" w:cs="Verdana"/>
          <w:color w:val="auto"/>
          <w:sz w:val="22"/>
          <w:szCs w:val="20"/>
          <w:lang w:val="en-US" w:eastAsia="en-US"/>
        </w:rPr>
        <w:t>security</w:t>
      </w:r>
      <w:r w:rsidRPr="008C3BA8">
        <w:rPr>
          <w:rFonts w:ascii="Arial Nova Light" w:eastAsia="Verdana" w:hAnsi="Arial Nova Light" w:cs="Verdana"/>
          <w:color w:val="auto"/>
          <w:sz w:val="22"/>
          <w:szCs w:val="20"/>
          <w:lang w:val="en-US" w:eastAsia="en-US"/>
        </w:rPr>
        <w:t xml:space="preserve">, supported by systematic processes and practice, we cannot </w:t>
      </w:r>
      <w:r w:rsidR="00C04132">
        <w:rPr>
          <w:rFonts w:ascii="Arial Nova Light" w:eastAsia="Verdana" w:hAnsi="Arial Nova Light" w:cs="Verdana"/>
          <w:color w:val="auto"/>
          <w:sz w:val="22"/>
          <w:szCs w:val="20"/>
          <w:lang w:val="en-US" w:eastAsia="en-US"/>
        </w:rPr>
        <w:t xml:space="preserve">realise these concepts within </w:t>
      </w:r>
      <w:r w:rsidR="00B5607D">
        <w:rPr>
          <w:rFonts w:ascii="Arial Nova Light" w:hAnsi="Arial Nova Light"/>
          <w:b/>
          <w:sz w:val="22"/>
          <w:szCs w:val="22"/>
        </w:rPr>
        <w:t>The Practice</w:t>
      </w:r>
      <w:r w:rsidRPr="008C3BA8">
        <w:rPr>
          <w:rFonts w:ascii="Arial Nova Light" w:eastAsia="Verdana" w:hAnsi="Arial Nova Light" w:cs="Verdana"/>
          <w:color w:val="auto"/>
          <w:sz w:val="22"/>
          <w:szCs w:val="20"/>
          <w:lang w:val="en-US" w:eastAsia="en-US"/>
        </w:rPr>
        <w:t>.</w:t>
      </w:r>
    </w:p>
    <w:p w14:paraId="26C7358A" w14:textId="1097D791" w:rsidR="00506A79" w:rsidRDefault="00E04214" w:rsidP="00E04214">
      <w:pPr>
        <w:pStyle w:val="Heading1"/>
        <w:rPr>
          <w:rFonts w:ascii="Arial Nova Light" w:eastAsia="Verdana" w:hAnsi="Arial Nova Light" w:cs="Verdana"/>
          <w:color w:val="auto"/>
          <w:sz w:val="22"/>
          <w:szCs w:val="20"/>
          <w:lang w:val="en-US"/>
        </w:rPr>
      </w:pPr>
      <w:bookmarkStart w:id="7" w:name="_Toc66882529"/>
      <w:r w:rsidRPr="00E04214">
        <w:t>Equipment Security and Integrity</w:t>
      </w:r>
      <w:bookmarkEnd w:id="7"/>
    </w:p>
    <w:p w14:paraId="605020C9" w14:textId="1936A36B" w:rsidR="00506A79" w:rsidRPr="00506A79" w:rsidRDefault="00506A79" w:rsidP="00414AEC">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506A79">
        <w:rPr>
          <w:rFonts w:ascii="Arial Nova Light" w:eastAsia="Verdana" w:hAnsi="Arial Nova Light" w:cs="Verdana"/>
          <w:color w:val="auto"/>
          <w:sz w:val="22"/>
          <w:szCs w:val="20"/>
          <w:lang w:val="en-US" w:eastAsia="en-US"/>
        </w:rPr>
        <w:t>Staff are responsible for the security of the equipment that has been allocated to them</w:t>
      </w:r>
      <w:r w:rsidR="00414AEC">
        <w:rPr>
          <w:rFonts w:ascii="Arial Nova Light" w:eastAsia="Verdana" w:hAnsi="Arial Nova Light" w:cs="Verdana"/>
          <w:color w:val="auto"/>
          <w:sz w:val="22"/>
          <w:szCs w:val="20"/>
          <w:lang w:val="en-US" w:eastAsia="en-US"/>
        </w:rPr>
        <w:t xml:space="preserve"> or that they have access to</w:t>
      </w:r>
      <w:r w:rsidRPr="00506A79">
        <w:rPr>
          <w:rFonts w:ascii="Arial Nova Light" w:eastAsia="Verdana" w:hAnsi="Arial Nova Light" w:cs="Verdana"/>
          <w:color w:val="auto"/>
          <w:sz w:val="22"/>
          <w:szCs w:val="20"/>
          <w:lang w:val="en-US" w:eastAsia="en-US"/>
        </w:rPr>
        <w:t xml:space="preserve">, including any computer terminal and </w:t>
      </w:r>
      <w:r w:rsidR="00414AEC">
        <w:rPr>
          <w:rFonts w:ascii="Arial Nova Light" w:eastAsia="Verdana" w:hAnsi="Arial Nova Light" w:cs="Verdana"/>
          <w:color w:val="auto"/>
          <w:sz w:val="22"/>
          <w:szCs w:val="20"/>
          <w:lang w:val="en-US" w:eastAsia="en-US"/>
        </w:rPr>
        <w:t>mobile</w:t>
      </w:r>
      <w:r w:rsidRPr="00506A79">
        <w:rPr>
          <w:rFonts w:ascii="Arial Nova Light" w:eastAsia="Verdana" w:hAnsi="Arial Nova Light" w:cs="Verdana"/>
          <w:color w:val="auto"/>
          <w:sz w:val="22"/>
          <w:szCs w:val="20"/>
          <w:lang w:val="en-US" w:eastAsia="en-US"/>
        </w:rPr>
        <w:t xml:space="preserve"> devices, and </w:t>
      </w:r>
      <w:r w:rsidR="00414AEC">
        <w:rPr>
          <w:rFonts w:ascii="Arial Nova Light" w:eastAsia="Verdana" w:hAnsi="Arial Nova Light" w:cs="Verdana"/>
          <w:color w:val="auto"/>
          <w:sz w:val="22"/>
          <w:szCs w:val="20"/>
          <w:lang w:val="en-US" w:eastAsia="en-US"/>
        </w:rPr>
        <w:t>they</w:t>
      </w:r>
      <w:r w:rsidRPr="00506A79">
        <w:rPr>
          <w:rFonts w:ascii="Arial Nova Light" w:eastAsia="Verdana" w:hAnsi="Arial Nova Light" w:cs="Verdana"/>
          <w:color w:val="auto"/>
          <w:sz w:val="22"/>
          <w:szCs w:val="20"/>
          <w:lang w:val="en-US" w:eastAsia="en-US"/>
        </w:rPr>
        <w:t xml:space="preserve"> must be used in accordance with this protocol</w:t>
      </w:r>
      <w:r w:rsidR="00414AEC">
        <w:rPr>
          <w:rFonts w:ascii="Arial Nova Light" w:eastAsia="Verdana" w:hAnsi="Arial Nova Light" w:cs="Verdana"/>
          <w:color w:val="auto"/>
          <w:sz w:val="22"/>
          <w:szCs w:val="20"/>
          <w:lang w:val="en-US" w:eastAsia="en-US"/>
        </w:rPr>
        <w:t>.</w:t>
      </w:r>
    </w:p>
    <w:p w14:paraId="7D069E8D" w14:textId="21FD930D" w:rsidR="00506A79" w:rsidRPr="00506A79" w:rsidRDefault="00506A79" w:rsidP="00414AEC">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506A79">
        <w:rPr>
          <w:rFonts w:ascii="Arial Nova Light" w:eastAsia="Verdana" w:hAnsi="Arial Nova Light" w:cs="Verdana"/>
          <w:color w:val="auto"/>
          <w:sz w:val="22"/>
          <w:szCs w:val="20"/>
          <w:lang w:val="en-US" w:eastAsia="en-US"/>
        </w:rPr>
        <w:t>Staff must lock screen or log off when leaving terminals or devices unattended</w:t>
      </w:r>
      <w:r w:rsidR="00414AEC">
        <w:rPr>
          <w:rFonts w:ascii="Arial Nova Light" w:eastAsia="Verdana" w:hAnsi="Arial Nova Light" w:cs="Verdana"/>
          <w:color w:val="auto"/>
          <w:sz w:val="22"/>
          <w:szCs w:val="20"/>
          <w:lang w:val="en-US" w:eastAsia="en-US"/>
        </w:rPr>
        <w:t>.</w:t>
      </w:r>
    </w:p>
    <w:p w14:paraId="01FD77C5" w14:textId="04BB2AC8" w:rsidR="00506A79" w:rsidRDefault="00506A79" w:rsidP="00414AEC">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506A79">
        <w:rPr>
          <w:rFonts w:ascii="Arial Nova Light" w:eastAsia="Verdana" w:hAnsi="Arial Nova Light" w:cs="Verdana"/>
          <w:color w:val="auto"/>
          <w:sz w:val="22"/>
          <w:szCs w:val="20"/>
          <w:lang w:val="en-US" w:eastAsia="en-US"/>
        </w:rPr>
        <w:t xml:space="preserve">Anyone who is not authorised to access our network must only be permitted to use terminals or devices under supervision from </w:t>
      </w:r>
      <w:r w:rsidR="00B5607D">
        <w:rPr>
          <w:rFonts w:ascii="Arial Nova Light" w:eastAsia="Verdana" w:hAnsi="Arial Nova Light" w:cs="Verdana"/>
          <w:color w:val="auto"/>
          <w:sz w:val="22"/>
          <w:szCs w:val="20"/>
          <w:lang w:val="en-US" w:eastAsia="en-US"/>
        </w:rPr>
        <w:t>The Practice</w:t>
      </w:r>
      <w:r w:rsidRPr="00506A79">
        <w:rPr>
          <w:rFonts w:ascii="Arial Nova Light" w:eastAsia="Verdana" w:hAnsi="Arial Nova Light" w:cs="Verdana"/>
          <w:color w:val="auto"/>
          <w:sz w:val="22"/>
          <w:szCs w:val="20"/>
          <w:lang w:val="en-US" w:eastAsia="en-US"/>
        </w:rPr>
        <w:t xml:space="preserve"> staff</w:t>
      </w:r>
      <w:r w:rsidR="00414AEC">
        <w:rPr>
          <w:rFonts w:ascii="Arial Nova Light" w:eastAsia="Verdana" w:hAnsi="Arial Nova Light" w:cs="Verdana"/>
          <w:color w:val="auto"/>
          <w:sz w:val="22"/>
          <w:szCs w:val="20"/>
          <w:lang w:val="en-US" w:eastAsia="en-US"/>
        </w:rPr>
        <w:t>.</w:t>
      </w:r>
    </w:p>
    <w:p w14:paraId="1B64FE52" w14:textId="5D6EF8EE" w:rsidR="00E56978" w:rsidRPr="00506A79" w:rsidRDefault="00E56978" w:rsidP="00414AEC">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lastRenderedPageBreak/>
        <w:t>The use of public WiFi</w:t>
      </w:r>
      <w:r w:rsidR="000F4D76">
        <w:rPr>
          <w:rFonts w:ascii="Arial Nova Light" w:eastAsia="Verdana" w:hAnsi="Arial Nova Light" w:cs="Verdana"/>
          <w:color w:val="auto"/>
          <w:sz w:val="22"/>
          <w:szCs w:val="20"/>
          <w:lang w:val="en-US" w:eastAsia="en-US"/>
        </w:rPr>
        <w:t xml:space="preserve"> for work purposes is not permitted as it is considered to be unsafe</w:t>
      </w:r>
    </w:p>
    <w:p w14:paraId="73E86D72" w14:textId="6006DF57" w:rsidR="00506A79" w:rsidRPr="00506A79" w:rsidRDefault="00506A79" w:rsidP="00414AEC">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506A79">
        <w:rPr>
          <w:rFonts w:ascii="Arial Nova Light" w:eastAsia="Verdana" w:hAnsi="Arial Nova Light" w:cs="Verdana"/>
          <w:color w:val="auto"/>
          <w:sz w:val="22"/>
          <w:szCs w:val="20"/>
          <w:lang w:val="en-US" w:eastAsia="en-US"/>
        </w:rPr>
        <w:t>If you have been issued with a laptop, tablet computer, smartphone, or other mobile device, staff must ensure that it is always kept secure, especially when travelling</w:t>
      </w:r>
      <w:r w:rsidR="007F65EF">
        <w:rPr>
          <w:rFonts w:ascii="Arial Nova Light" w:eastAsia="Verdana" w:hAnsi="Arial Nova Light" w:cs="Verdana"/>
          <w:color w:val="auto"/>
          <w:sz w:val="22"/>
          <w:szCs w:val="20"/>
          <w:lang w:val="en-US" w:eastAsia="en-US"/>
        </w:rPr>
        <w:t>.</w:t>
      </w:r>
    </w:p>
    <w:p w14:paraId="36BBA70D" w14:textId="34F63E45" w:rsidR="00506A79" w:rsidRPr="00506A79" w:rsidRDefault="00506A79" w:rsidP="00414AEC">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506A79">
        <w:rPr>
          <w:rFonts w:ascii="Arial Nova Light" w:eastAsia="Verdana" w:hAnsi="Arial Nova Light" w:cs="Verdana"/>
          <w:color w:val="auto"/>
          <w:sz w:val="22"/>
          <w:szCs w:val="20"/>
          <w:lang w:val="en-US" w:eastAsia="en-US"/>
        </w:rPr>
        <w:t>Staff should not delete, destroy or modify existing systems, programs, information or data (except as authorised in the proper performance of your duties).</w:t>
      </w:r>
    </w:p>
    <w:p w14:paraId="58047935" w14:textId="3E5B451D" w:rsidR="00506A79" w:rsidRPr="00506A79" w:rsidRDefault="00506A79" w:rsidP="00414AEC">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506A79">
        <w:rPr>
          <w:rFonts w:ascii="Arial Nova Light" w:eastAsia="Verdana" w:hAnsi="Arial Nova Light" w:cs="Verdana"/>
          <w:color w:val="auto"/>
          <w:sz w:val="22"/>
          <w:szCs w:val="20"/>
          <w:lang w:val="en-US" w:eastAsia="en-US"/>
        </w:rPr>
        <w:t xml:space="preserve">Staff must not download or install software from external sources without authorisation from the </w:t>
      </w:r>
      <w:r w:rsidR="007F65EF">
        <w:rPr>
          <w:rFonts w:ascii="Arial Nova Light" w:eastAsia="Verdana" w:hAnsi="Arial Nova Light" w:cs="Verdana"/>
          <w:color w:val="auto"/>
          <w:sz w:val="22"/>
          <w:szCs w:val="20"/>
          <w:lang w:val="en-US" w:eastAsia="en-US"/>
        </w:rPr>
        <w:t>Data Protection</w:t>
      </w:r>
      <w:r w:rsidRPr="00506A79">
        <w:rPr>
          <w:rFonts w:ascii="Arial Nova Light" w:eastAsia="Verdana" w:hAnsi="Arial Nova Light" w:cs="Verdana"/>
          <w:color w:val="auto"/>
          <w:sz w:val="22"/>
          <w:szCs w:val="20"/>
          <w:lang w:val="en-US" w:eastAsia="en-US"/>
        </w:rPr>
        <w:t xml:space="preserve"> Lead. This includes software programs, instant messaging programs, screensavers, photos, video clips and music files</w:t>
      </w:r>
      <w:r w:rsidR="007F65EF">
        <w:rPr>
          <w:rFonts w:ascii="Arial Nova Light" w:eastAsia="Verdana" w:hAnsi="Arial Nova Light" w:cs="Verdana"/>
          <w:color w:val="auto"/>
          <w:sz w:val="22"/>
          <w:szCs w:val="20"/>
          <w:lang w:val="en-US" w:eastAsia="en-US"/>
        </w:rPr>
        <w:t>.</w:t>
      </w:r>
    </w:p>
    <w:p w14:paraId="3EAADE24" w14:textId="3C12C812" w:rsidR="00506A79" w:rsidRPr="00506A79" w:rsidRDefault="00506A79" w:rsidP="00414AEC">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506A79">
        <w:rPr>
          <w:rFonts w:ascii="Arial Nova Light" w:eastAsia="Verdana" w:hAnsi="Arial Nova Light" w:cs="Verdana"/>
          <w:color w:val="auto"/>
          <w:sz w:val="22"/>
          <w:szCs w:val="20"/>
          <w:lang w:val="en-US" w:eastAsia="en-US"/>
        </w:rPr>
        <w:t xml:space="preserve">Staff must not attach any device or equipment to </w:t>
      </w:r>
      <w:r w:rsidR="00B5607D">
        <w:rPr>
          <w:rFonts w:ascii="Arial Nova Light" w:eastAsia="Verdana" w:hAnsi="Arial Nova Light" w:cs="Verdana"/>
          <w:color w:val="auto"/>
          <w:sz w:val="22"/>
          <w:szCs w:val="20"/>
          <w:lang w:val="en-US" w:eastAsia="en-US"/>
        </w:rPr>
        <w:t>The Practice</w:t>
      </w:r>
      <w:r w:rsidRPr="00506A79">
        <w:rPr>
          <w:rFonts w:ascii="Arial Nova Light" w:eastAsia="Verdana" w:hAnsi="Arial Nova Light" w:cs="Verdana"/>
          <w:color w:val="auto"/>
          <w:sz w:val="22"/>
          <w:szCs w:val="20"/>
          <w:lang w:val="en-US" w:eastAsia="en-US"/>
        </w:rPr>
        <w:t xml:space="preserve"> systems without authorisation from the </w:t>
      </w:r>
      <w:r w:rsidR="007F65EF">
        <w:rPr>
          <w:rFonts w:ascii="Arial Nova Light" w:eastAsia="Verdana" w:hAnsi="Arial Nova Light" w:cs="Verdana"/>
          <w:color w:val="auto"/>
          <w:sz w:val="22"/>
          <w:szCs w:val="20"/>
          <w:lang w:val="en-US" w:eastAsia="en-US"/>
        </w:rPr>
        <w:t>Data Protection Lead</w:t>
      </w:r>
      <w:r w:rsidRPr="00506A79">
        <w:rPr>
          <w:rFonts w:ascii="Arial Nova Light" w:eastAsia="Verdana" w:hAnsi="Arial Nova Light" w:cs="Verdana"/>
          <w:color w:val="auto"/>
          <w:sz w:val="22"/>
          <w:szCs w:val="20"/>
          <w:lang w:val="en-US" w:eastAsia="en-US"/>
        </w:rPr>
        <w:t>. This includes any USB flash drive, MP3 player, tablet, smartphone or other similar device, whether connected via the USB port, infra-red connection or in any other way.</w:t>
      </w:r>
    </w:p>
    <w:p w14:paraId="3C18D688" w14:textId="70A94BB6" w:rsidR="00506A79" w:rsidRPr="00506A79" w:rsidRDefault="00506A79" w:rsidP="007F65EF">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506A79">
        <w:rPr>
          <w:rFonts w:ascii="Arial Nova Light" w:eastAsia="Verdana" w:hAnsi="Arial Nova Light" w:cs="Verdana"/>
          <w:color w:val="auto"/>
          <w:sz w:val="22"/>
          <w:szCs w:val="20"/>
          <w:lang w:val="en-US" w:eastAsia="en-US"/>
        </w:rPr>
        <w:t xml:space="preserve">Staff should inform the </w:t>
      </w:r>
      <w:r w:rsidR="007F65EF">
        <w:rPr>
          <w:rFonts w:ascii="Arial Nova Light" w:eastAsia="Verdana" w:hAnsi="Arial Nova Light" w:cs="Verdana"/>
          <w:color w:val="auto"/>
          <w:sz w:val="22"/>
          <w:szCs w:val="20"/>
          <w:lang w:val="en-US" w:eastAsia="en-US"/>
        </w:rPr>
        <w:t>Data Protection Lead</w:t>
      </w:r>
      <w:r w:rsidRPr="00506A79">
        <w:rPr>
          <w:rFonts w:ascii="Arial Nova Light" w:eastAsia="Verdana" w:hAnsi="Arial Nova Light" w:cs="Verdana"/>
          <w:color w:val="auto"/>
          <w:sz w:val="22"/>
          <w:szCs w:val="20"/>
          <w:lang w:val="en-US" w:eastAsia="en-US"/>
        </w:rPr>
        <w:t xml:space="preserve"> if staff suspect a virus. </w:t>
      </w:r>
      <w:r w:rsidR="007F65EF">
        <w:rPr>
          <w:rFonts w:ascii="Arial Nova Light" w:eastAsia="Verdana" w:hAnsi="Arial Nova Light" w:cs="Verdana"/>
          <w:color w:val="auto"/>
          <w:sz w:val="22"/>
          <w:szCs w:val="20"/>
          <w:lang w:val="en-US" w:eastAsia="en-US"/>
        </w:rPr>
        <w:t>The Data Protection Lead</w:t>
      </w:r>
      <w:r w:rsidRPr="00506A79">
        <w:rPr>
          <w:rFonts w:ascii="Arial Nova Light" w:eastAsia="Verdana" w:hAnsi="Arial Nova Light" w:cs="Verdana"/>
          <w:color w:val="auto"/>
          <w:sz w:val="22"/>
          <w:szCs w:val="20"/>
          <w:lang w:val="en-US" w:eastAsia="en-US"/>
        </w:rPr>
        <w:t xml:space="preserve"> may be required to delete or block access to emails or attachments in the interests of security. </w:t>
      </w:r>
    </w:p>
    <w:p w14:paraId="21DDDA2A" w14:textId="42E4A124" w:rsidR="00506A79" w:rsidRDefault="00506A79" w:rsidP="007F65EF">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506A79">
        <w:rPr>
          <w:rFonts w:ascii="Arial Nova Light" w:eastAsia="Verdana" w:hAnsi="Arial Nova Light" w:cs="Verdana"/>
          <w:color w:val="auto"/>
          <w:sz w:val="22"/>
          <w:szCs w:val="20"/>
          <w:lang w:val="en-US" w:eastAsia="en-US"/>
        </w:rPr>
        <w:t>Staff should not attempt to gain access to restricted areas of the network, or to any password- protected information inappropriately</w:t>
      </w:r>
      <w:r w:rsidR="009F0CD1">
        <w:rPr>
          <w:rFonts w:ascii="Arial Nova Light" w:eastAsia="Verdana" w:hAnsi="Arial Nova Light" w:cs="Verdana"/>
          <w:color w:val="auto"/>
          <w:sz w:val="22"/>
          <w:szCs w:val="20"/>
          <w:lang w:val="en-US" w:eastAsia="en-US"/>
        </w:rPr>
        <w:t>.</w:t>
      </w:r>
    </w:p>
    <w:p w14:paraId="5806C9ED" w14:textId="6430A734" w:rsidR="00B03049" w:rsidRPr="00BC5D69" w:rsidRDefault="00BC5D69" w:rsidP="00BC5D69">
      <w:pPr>
        <w:pStyle w:val="Heading1"/>
      </w:pPr>
      <w:bookmarkStart w:id="8" w:name="_Toc56678910"/>
      <w:bookmarkStart w:id="9" w:name="_Toc66882530"/>
      <w:r w:rsidRPr="00BC5D69">
        <w:t>Email Security</w:t>
      </w:r>
      <w:bookmarkEnd w:id="8"/>
      <w:bookmarkEnd w:id="9"/>
    </w:p>
    <w:p w14:paraId="15056112" w14:textId="7E0D2920" w:rsidR="00B03049" w:rsidRPr="00BC5D69" w:rsidRDefault="00B5607D" w:rsidP="00BC5D69">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The Practice</w:t>
      </w:r>
      <w:r w:rsidR="00B03049" w:rsidRPr="00BC5D69">
        <w:rPr>
          <w:rFonts w:ascii="Arial Nova Light" w:eastAsia="Verdana" w:hAnsi="Arial Nova Light" w:cs="Verdana"/>
          <w:color w:val="auto"/>
          <w:sz w:val="22"/>
          <w:szCs w:val="20"/>
          <w:lang w:val="en-US" w:eastAsia="en-US"/>
        </w:rPr>
        <w:t xml:space="preserve"> software monitors email traffic for </w:t>
      </w:r>
      <w:r w:rsidR="0021293A" w:rsidRPr="00BC5D69">
        <w:rPr>
          <w:rFonts w:ascii="Arial Nova Light" w:eastAsia="Verdana" w:hAnsi="Arial Nova Light" w:cs="Verdana"/>
          <w:color w:val="auto"/>
          <w:sz w:val="22"/>
          <w:szCs w:val="20"/>
          <w:lang w:val="en-US" w:eastAsia="en-US"/>
        </w:rPr>
        <w:t>viruses;</w:t>
      </w:r>
      <w:r w:rsidR="00B03049" w:rsidRPr="00BC5D69">
        <w:rPr>
          <w:rFonts w:ascii="Arial Nova Light" w:eastAsia="Verdana" w:hAnsi="Arial Nova Light" w:cs="Verdana"/>
          <w:color w:val="auto"/>
          <w:sz w:val="22"/>
          <w:szCs w:val="20"/>
          <w:lang w:val="en-US" w:eastAsia="en-US"/>
        </w:rPr>
        <w:t xml:space="preserve"> however, staff should exercise particular caution when opening unsolicited or suspicious emails from unknown sources.</w:t>
      </w:r>
    </w:p>
    <w:p w14:paraId="0A69AF15" w14:textId="480B0BAE" w:rsidR="00B03049" w:rsidRPr="00BC5D69" w:rsidRDefault="00B03049" w:rsidP="00BC5D69">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BC5D69">
        <w:rPr>
          <w:rFonts w:ascii="Arial Nova Light" w:eastAsia="Verdana" w:hAnsi="Arial Nova Light" w:cs="Verdana"/>
          <w:color w:val="auto"/>
          <w:sz w:val="22"/>
          <w:szCs w:val="20"/>
          <w:lang w:val="en-US" w:eastAsia="en-US"/>
        </w:rPr>
        <w:t>Email messages may be required to be disclosed in legal proceedings in the same way as paper documents and can be retrieved even once deleted</w:t>
      </w:r>
      <w:r w:rsidR="0021293A">
        <w:rPr>
          <w:rFonts w:ascii="Arial Nova Light" w:eastAsia="Verdana" w:hAnsi="Arial Nova Light" w:cs="Verdana"/>
          <w:color w:val="auto"/>
          <w:sz w:val="22"/>
          <w:szCs w:val="20"/>
          <w:lang w:val="en-US" w:eastAsia="en-US"/>
        </w:rPr>
        <w:t>.</w:t>
      </w:r>
    </w:p>
    <w:p w14:paraId="136E6D4E" w14:textId="6ACBE4C8" w:rsidR="00B03049" w:rsidRPr="00BC5D69" w:rsidRDefault="00B03049" w:rsidP="00BC5D69">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BC5D69">
        <w:rPr>
          <w:rFonts w:ascii="Arial Nova Light" w:eastAsia="Verdana" w:hAnsi="Arial Nova Light" w:cs="Verdana"/>
          <w:color w:val="auto"/>
          <w:sz w:val="22"/>
          <w:szCs w:val="20"/>
          <w:lang w:val="en-US" w:eastAsia="en-US"/>
        </w:rPr>
        <w:t>Staff who receive an email in error should inform the sender and delete the erroneous email</w:t>
      </w:r>
      <w:r w:rsidR="0021293A">
        <w:rPr>
          <w:rFonts w:ascii="Arial Nova Light" w:eastAsia="Verdana" w:hAnsi="Arial Nova Light" w:cs="Verdana"/>
          <w:color w:val="auto"/>
          <w:sz w:val="22"/>
          <w:szCs w:val="20"/>
          <w:lang w:val="en-US" w:eastAsia="en-US"/>
        </w:rPr>
        <w:t>.</w:t>
      </w:r>
    </w:p>
    <w:p w14:paraId="0E64176A" w14:textId="585A49A0" w:rsidR="00B03049" w:rsidRPr="00BC5D69" w:rsidRDefault="00B03049" w:rsidP="00BC5D69">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BC5D69">
        <w:rPr>
          <w:rFonts w:ascii="Arial Nova Light" w:eastAsia="Verdana" w:hAnsi="Arial Nova Light" w:cs="Verdana"/>
          <w:color w:val="auto"/>
          <w:sz w:val="22"/>
          <w:szCs w:val="20"/>
          <w:lang w:val="en-US" w:eastAsia="en-US"/>
        </w:rPr>
        <w:t xml:space="preserve">Staff should not use their own personal email account to send or receive email for the purposes of </w:t>
      </w:r>
      <w:r w:rsidR="00B5607D">
        <w:rPr>
          <w:rFonts w:ascii="Arial Nova Light" w:eastAsia="Verdana" w:hAnsi="Arial Nova Light" w:cs="Verdana"/>
          <w:color w:val="auto"/>
          <w:sz w:val="22"/>
          <w:szCs w:val="20"/>
          <w:lang w:val="en-US" w:eastAsia="en-US"/>
        </w:rPr>
        <w:t>The Practice</w:t>
      </w:r>
      <w:r w:rsidRPr="00BC5D69">
        <w:rPr>
          <w:rFonts w:ascii="Arial Nova Light" w:eastAsia="Verdana" w:hAnsi="Arial Nova Light" w:cs="Verdana"/>
          <w:color w:val="auto"/>
          <w:sz w:val="22"/>
          <w:szCs w:val="20"/>
          <w:lang w:val="en-US" w:eastAsia="en-US"/>
        </w:rPr>
        <w:t xml:space="preserve"> business</w:t>
      </w:r>
      <w:r w:rsidR="0021293A">
        <w:rPr>
          <w:rFonts w:ascii="Arial Nova Light" w:eastAsia="Verdana" w:hAnsi="Arial Nova Light" w:cs="Verdana"/>
          <w:color w:val="auto"/>
          <w:sz w:val="22"/>
          <w:szCs w:val="20"/>
          <w:lang w:val="en-US" w:eastAsia="en-US"/>
        </w:rPr>
        <w:t>.</w:t>
      </w:r>
    </w:p>
    <w:p w14:paraId="30E2FB53" w14:textId="566E552F" w:rsidR="00B03049" w:rsidRPr="00BC5D69" w:rsidRDefault="00B03049" w:rsidP="00BC5D69">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BC5D69">
        <w:rPr>
          <w:rFonts w:ascii="Arial Nova Light" w:eastAsia="Verdana" w:hAnsi="Arial Nova Light" w:cs="Verdana"/>
          <w:color w:val="auto"/>
          <w:sz w:val="22"/>
          <w:szCs w:val="20"/>
          <w:lang w:val="en-US" w:eastAsia="en-US"/>
        </w:rPr>
        <w:t xml:space="preserve">When sending email that contains sensitive or </w:t>
      </w:r>
      <w:r w:rsidR="0021293A">
        <w:rPr>
          <w:rFonts w:ascii="Arial Nova Light" w:eastAsia="Verdana" w:hAnsi="Arial Nova Light" w:cs="Verdana"/>
          <w:color w:val="auto"/>
          <w:sz w:val="22"/>
          <w:szCs w:val="20"/>
          <w:lang w:val="en-US" w:eastAsia="en-US"/>
        </w:rPr>
        <w:t>service user</w:t>
      </w:r>
      <w:r w:rsidRPr="00BC5D69">
        <w:rPr>
          <w:rFonts w:ascii="Arial Nova Light" w:eastAsia="Verdana" w:hAnsi="Arial Nova Light" w:cs="Verdana"/>
          <w:color w:val="auto"/>
          <w:sz w:val="22"/>
          <w:szCs w:val="20"/>
          <w:lang w:val="en-US" w:eastAsia="en-US"/>
        </w:rPr>
        <w:t xml:space="preserve"> data, staff should always use </w:t>
      </w:r>
      <w:r w:rsidR="0021293A">
        <w:rPr>
          <w:rFonts w:ascii="Arial Nova Light" w:eastAsia="Verdana" w:hAnsi="Arial Nova Light" w:cs="Verdana"/>
          <w:color w:val="auto"/>
          <w:sz w:val="22"/>
          <w:szCs w:val="20"/>
          <w:lang w:val="en-US" w:eastAsia="en-US"/>
        </w:rPr>
        <w:t>a</w:t>
      </w:r>
      <w:r w:rsidRPr="00BC5D69">
        <w:rPr>
          <w:rFonts w:ascii="Arial Nova Light" w:eastAsia="Verdana" w:hAnsi="Arial Nova Light" w:cs="Verdana"/>
          <w:color w:val="auto"/>
          <w:sz w:val="22"/>
          <w:szCs w:val="20"/>
          <w:lang w:val="en-US" w:eastAsia="en-US"/>
        </w:rPr>
        <w:t xml:space="preserve"> </w:t>
      </w:r>
      <w:r w:rsidR="0021293A">
        <w:rPr>
          <w:rFonts w:ascii="Arial Nova Light" w:eastAsia="Verdana" w:hAnsi="Arial Nova Light" w:cs="Verdana"/>
          <w:color w:val="auto"/>
          <w:sz w:val="22"/>
          <w:szCs w:val="20"/>
          <w:lang w:val="en-US" w:eastAsia="en-US"/>
        </w:rPr>
        <w:t xml:space="preserve">secure email service – such as </w:t>
      </w:r>
      <w:r w:rsidRPr="00BC5D69">
        <w:rPr>
          <w:rFonts w:ascii="Arial Nova Light" w:eastAsia="Verdana" w:hAnsi="Arial Nova Light" w:cs="Verdana"/>
          <w:color w:val="auto"/>
          <w:sz w:val="22"/>
          <w:szCs w:val="20"/>
          <w:lang w:val="en-US" w:eastAsia="en-US"/>
        </w:rPr>
        <w:t>NHS Mail</w:t>
      </w:r>
      <w:r w:rsidR="000269C4">
        <w:rPr>
          <w:rFonts w:ascii="Arial Nova Light" w:eastAsia="Verdana" w:hAnsi="Arial Nova Light" w:cs="Verdana"/>
          <w:color w:val="auto"/>
          <w:sz w:val="22"/>
          <w:szCs w:val="20"/>
          <w:lang w:val="en-US" w:eastAsia="en-US"/>
        </w:rPr>
        <w:t>.</w:t>
      </w:r>
    </w:p>
    <w:p w14:paraId="0ED07360" w14:textId="228C4935" w:rsidR="00B03049" w:rsidRPr="00BC5D69" w:rsidRDefault="00B03049" w:rsidP="00BC5D69">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sidRPr="00BC5D69">
        <w:rPr>
          <w:rFonts w:ascii="Arial Nova Light" w:eastAsia="Verdana" w:hAnsi="Arial Nova Light" w:cs="Verdana"/>
          <w:color w:val="auto"/>
          <w:sz w:val="22"/>
          <w:szCs w:val="20"/>
          <w:lang w:val="en-US" w:eastAsia="en-US"/>
        </w:rPr>
        <w:t>When sending email from NHS Mail account to a</w:t>
      </w:r>
      <w:r w:rsidR="00E70376">
        <w:rPr>
          <w:rFonts w:ascii="Arial Nova Light" w:eastAsia="Verdana" w:hAnsi="Arial Nova Light" w:cs="Verdana"/>
          <w:color w:val="auto"/>
          <w:sz w:val="22"/>
          <w:szCs w:val="20"/>
          <w:lang w:val="en-US" w:eastAsia="en-US"/>
        </w:rPr>
        <w:t xml:space="preserve"> </w:t>
      </w:r>
      <w:r w:rsidR="000269C4">
        <w:rPr>
          <w:rFonts w:ascii="Arial Nova Light" w:eastAsia="Verdana" w:hAnsi="Arial Nova Light" w:cs="Verdana"/>
          <w:color w:val="auto"/>
          <w:sz w:val="22"/>
          <w:szCs w:val="20"/>
          <w:lang w:val="en-US" w:eastAsia="en-US"/>
        </w:rPr>
        <w:t>non-secure</w:t>
      </w:r>
      <w:r w:rsidRPr="00BC5D69">
        <w:rPr>
          <w:rFonts w:ascii="Arial Nova Light" w:eastAsia="Verdana" w:hAnsi="Arial Nova Light" w:cs="Verdana"/>
          <w:color w:val="auto"/>
          <w:sz w:val="22"/>
          <w:szCs w:val="20"/>
          <w:lang w:val="en-US" w:eastAsia="en-US"/>
        </w:rPr>
        <w:t xml:space="preserve"> </w:t>
      </w:r>
      <w:r w:rsidR="00E70376">
        <w:rPr>
          <w:rFonts w:ascii="Arial Nova Light" w:eastAsia="Verdana" w:hAnsi="Arial Nova Light" w:cs="Verdana"/>
          <w:color w:val="auto"/>
          <w:sz w:val="22"/>
          <w:szCs w:val="20"/>
          <w:lang w:val="en-US" w:eastAsia="en-US"/>
        </w:rPr>
        <w:t>recipient</w:t>
      </w:r>
      <w:r w:rsidRPr="00BC5D69">
        <w:rPr>
          <w:rFonts w:ascii="Arial Nova Light" w:eastAsia="Verdana" w:hAnsi="Arial Nova Light" w:cs="Verdana"/>
          <w:color w:val="auto"/>
          <w:sz w:val="22"/>
          <w:szCs w:val="20"/>
          <w:lang w:val="en-US" w:eastAsia="en-US"/>
        </w:rPr>
        <w:t xml:space="preserve"> email account such as Hotmail, staff should insert [secure] into the subject line to enable encryption</w:t>
      </w:r>
      <w:r w:rsidR="00E70376">
        <w:rPr>
          <w:rFonts w:ascii="Arial Nova Light" w:eastAsia="Verdana" w:hAnsi="Arial Nova Light" w:cs="Verdana"/>
          <w:color w:val="auto"/>
          <w:sz w:val="22"/>
          <w:szCs w:val="20"/>
          <w:lang w:val="en-US" w:eastAsia="en-US"/>
        </w:rPr>
        <w:t>.</w:t>
      </w:r>
    </w:p>
    <w:p w14:paraId="6DE6E3A4" w14:textId="6E19DCFA" w:rsidR="00B03049" w:rsidRDefault="004F63EB" w:rsidP="00BC5D69">
      <w:pPr>
        <w:pStyle w:val="Default"/>
        <w:numPr>
          <w:ilvl w:val="0"/>
          <w:numId w:val="36"/>
        </w:numPr>
        <w:spacing w:before="120" w:line="360" w:lineRule="auto"/>
        <w:ind w:left="357" w:hanging="357"/>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lastRenderedPageBreak/>
        <w:t xml:space="preserve">Where available, </w:t>
      </w:r>
      <w:r w:rsidR="00B5607D">
        <w:rPr>
          <w:rFonts w:ascii="Arial Nova Light" w:eastAsia="Verdana" w:hAnsi="Arial Nova Light" w:cs="Verdana"/>
          <w:color w:val="auto"/>
          <w:sz w:val="22"/>
          <w:szCs w:val="20"/>
          <w:lang w:val="en-US" w:eastAsia="en-US"/>
        </w:rPr>
        <w:t>The Practice</w:t>
      </w:r>
      <w:r w:rsidR="00E70376">
        <w:rPr>
          <w:rFonts w:ascii="Arial Nova Light" w:eastAsia="Verdana" w:hAnsi="Arial Nova Light" w:cs="Verdana"/>
          <w:color w:val="auto"/>
          <w:sz w:val="22"/>
          <w:szCs w:val="20"/>
          <w:lang w:val="en-US" w:eastAsia="en-US"/>
        </w:rPr>
        <w:t xml:space="preserve"> staff</w:t>
      </w:r>
      <w:r w:rsidR="00B03049" w:rsidRPr="00BC5D69">
        <w:rPr>
          <w:rFonts w:ascii="Arial Nova Light" w:eastAsia="Verdana" w:hAnsi="Arial Nova Light" w:cs="Verdana"/>
          <w:color w:val="auto"/>
          <w:sz w:val="22"/>
          <w:szCs w:val="20"/>
          <w:lang w:val="en-US" w:eastAsia="en-US"/>
        </w:rPr>
        <w:t xml:space="preserve"> should use the confidentiality labels and encryption function for individual emails where appropriate, using the Encrypt button at the top of a new email. </w:t>
      </w:r>
    </w:p>
    <w:p w14:paraId="61A87CF1" w14:textId="77777777" w:rsidR="004F63EB" w:rsidRDefault="004F63EB" w:rsidP="004F63EB"/>
    <w:p w14:paraId="4DB80C81" w14:textId="715B9678" w:rsidR="00B03049" w:rsidRDefault="00B03049" w:rsidP="004F63EB">
      <w:r>
        <w:t>Senders can then select from;</w:t>
      </w:r>
    </w:p>
    <w:p w14:paraId="28C48981" w14:textId="77777777" w:rsidR="00B03049" w:rsidRDefault="00B03049" w:rsidP="00B03049">
      <w:pPr>
        <w:pStyle w:val="ListParagraph"/>
        <w:numPr>
          <w:ilvl w:val="1"/>
          <w:numId w:val="37"/>
        </w:numPr>
      </w:pPr>
      <w:r>
        <w:t>Encrypt Only</w:t>
      </w:r>
    </w:p>
    <w:p w14:paraId="16DBEF22" w14:textId="7AE134BE" w:rsidR="00B03049" w:rsidRDefault="00B03049" w:rsidP="00B03049">
      <w:pPr>
        <w:pStyle w:val="ListParagraph"/>
        <w:numPr>
          <w:ilvl w:val="1"/>
          <w:numId w:val="37"/>
        </w:numPr>
      </w:pPr>
      <w:r>
        <w:t>Do not forward</w:t>
      </w:r>
      <w:r w:rsidR="000269C4">
        <w:t>.</w:t>
      </w:r>
    </w:p>
    <w:p w14:paraId="0E71B9F4" w14:textId="77777777" w:rsidR="00B03049" w:rsidRDefault="00B03049" w:rsidP="00B03049">
      <w:pPr>
        <w:pStyle w:val="ListParagraph"/>
        <w:numPr>
          <w:ilvl w:val="1"/>
          <w:numId w:val="37"/>
        </w:numPr>
      </w:pPr>
      <w:r>
        <w:t>Confidential / All Employees</w:t>
      </w:r>
    </w:p>
    <w:p w14:paraId="449EF0F1" w14:textId="633AD3EB" w:rsidR="00B03049" w:rsidRDefault="00B03049" w:rsidP="004F63EB">
      <w:pPr>
        <w:pStyle w:val="ListParagraph"/>
        <w:numPr>
          <w:ilvl w:val="1"/>
          <w:numId w:val="37"/>
        </w:numPr>
      </w:pPr>
      <w:r>
        <w:t>Highly Confidential</w:t>
      </w:r>
    </w:p>
    <w:p w14:paraId="62E0CB17" w14:textId="476F8D28" w:rsidR="006C10D5" w:rsidRDefault="006C10D5" w:rsidP="006C10D5">
      <w:pPr>
        <w:pStyle w:val="Heading1"/>
      </w:pPr>
      <w:bookmarkStart w:id="10" w:name="_Toc66882531"/>
      <w:r>
        <w:t>Internet Security</w:t>
      </w:r>
      <w:bookmarkEnd w:id="10"/>
    </w:p>
    <w:p w14:paraId="1D870B01" w14:textId="2403BA2D" w:rsidR="006C10D5" w:rsidRPr="004F63EB" w:rsidRDefault="006C10D5" w:rsidP="006A0717">
      <w:pPr>
        <w:pStyle w:val="Default"/>
        <w:numPr>
          <w:ilvl w:val="0"/>
          <w:numId w:val="36"/>
        </w:numPr>
        <w:spacing w:before="120" w:line="360" w:lineRule="auto"/>
        <w:ind w:left="357" w:hanging="357"/>
        <w:rPr>
          <w:rFonts w:eastAsiaTheme="minorHAnsi"/>
        </w:rPr>
      </w:pPr>
      <w:r w:rsidRPr="00FB0A49">
        <w:rPr>
          <w:rFonts w:ascii="Arial Nova Light" w:eastAsia="Verdana" w:hAnsi="Arial Nova Light" w:cs="Verdana"/>
          <w:color w:val="auto"/>
          <w:sz w:val="22"/>
          <w:szCs w:val="20"/>
          <w:lang w:val="en-US" w:eastAsia="en-US"/>
        </w:rPr>
        <w:t xml:space="preserve">Internet access via </w:t>
      </w:r>
      <w:r w:rsidR="00B5607D">
        <w:rPr>
          <w:rFonts w:ascii="Arial Nova Light" w:eastAsia="Verdana" w:hAnsi="Arial Nova Light" w:cs="Verdana"/>
          <w:color w:val="auto"/>
          <w:sz w:val="22"/>
          <w:szCs w:val="20"/>
          <w:lang w:val="en-US" w:eastAsia="en-US"/>
        </w:rPr>
        <w:t>The Practice</w:t>
      </w:r>
      <w:r w:rsidRPr="00FB0A49">
        <w:rPr>
          <w:rFonts w:ascii="Arial Nova Light" w:eastAsia="Verdana" w:hAnsi="Arial Nova Light" w:cs="Verdana"/>
          <w:color w:val="auto"/>
          <w:sz w:val="22"/>
          <w:szCs w:val="20"/>
          <w:lang w:val="en-US" w:eastAsia="en-US"/>
        </w:rPr>
        <w:t xml:space="preserve"> devices is provided primarily for business purposes. Incidental and occasional personal use of the internet, email, and telephone systems is permitted, </w:t>
      </w:r>
      <w:r w:rsidR="00FB0A49" w:rsidRPr="00FB0A49">
        <w:rPr>
          <w:rFonts w:ascii="Arial Nova Light" w:eastAsia="Verdana" w:hAnsi="Arial Nova Light" w:cs="Verdana"/>
          <w:color w:val="auto"/>
          <w:sz w:val="22"/>
          <w:szCs w:val="20"/>
          <w:lang w:val="en-US" w:eastAsia="en-US"/>
        </w:rPr>
        <w:t>but should only involve access to trusted sites</w:t>
      </w:r>
      <w:r w:rsidR="00FB0A49">
        <w:rPr>
          <w:rFonts w:ascii="Arial Nova Light" w:eastAsia="Verdana" w:hAnsi="Arial Nova Light" w:cs="Verdana"/>
          <w:color w:val="auto"/>
          <w:sz w:val="22"/>
          <w:szCs w:val="20"/>
          <w:lang w:val="en-US" w:eastAsia="en-US"/>
        </w:rPr>
        <w:t xml:space="preserve"> and appropriate content.</w:t>
      </w:r>
    </w:p>
    <w:p w14:paraId="261A0E5B" w14:textId="77777777" w:rsidR="00C04132" w:rsidRPr="00C04132" w:rsidRDefault="00C04132" w:rsidP="00C04132">
      <w:pPr>
        <w:pStyle w:val="Heading1"/>
      </w:pPr>
      <w:bookmarkStart w:id="11" w:name="_Toc503693199"/>
      <w:bookmarkStart w:id="12" w:name="_Toc66882532"/>
      <w:r w:rsidRPr="00C04132">
        <w:t>Identity, Authentication and Authorisation</w:t>
      </w:r>
      <w:bookmarkEnd w:id="12"/>
    </w:p>
    <w:p w14:paraId="6E665751" w14:textId="7AF9637C" w:rsidR="00C04132" w:rsidRDefault="00C04132" w:rsidP="002677C7">
      <w:pPr>
        <w:pStyle w:val="Default"/>
        <w:numPr>
          <w:ilvl w:val="0"/>
          <w:numId w:val="36"/>
        </w:numPr>
        <w:spacing w:before="120" w:line="360" w:lineRule="auto"/>
        <w:rPr>
          <w:rFonts w:ascii="Arial Nova Light" w:eastAsia="Verdana" w:hAnsi="Arial Nova Light" w:cs="Verdana"/>
          <w:color w:val="auto"/>
          <w:sz w:val="22"/>
          <w:szCs w:val="20"/>
          <w:lang w:val="en-US" w:eastAsia="en-US"/>
        </w:rPr>
      </w:pPr>
      <w:r w:rsidRPr="00C04132">
        <w:rPr>
          <w:rFonts w:ascii="Arial Nova Light" w:eastAsia="Verdana" w:hAnsi="Arial Nova Light" w:cs="Verdana"/>
          <w:color w:val="auto"/>
          <w:sz w:val="22"/>
          <w:szCs w:val="20"/>
          <w:lang w:val="en-US" w:eastAsia="en-US"/>
        </w:rPr>
        <w:t xml:space="preserve">Default passwords (factory settings) on all equipment </w:t>
      </w:r>
      <w:r w:rsidR="004B56EC">
        <w:rPr>
          <w:rFonts w:ascii="Arial Nova Light" w:eastAsia="Verdana" w:hAnsi="Arial Nova Light" w:cs="Verdana"/>
          <w:color w:val="auto"/>
          <w:sz w:val="22"/>
          <w:szCs w:val="20"/>
          <w:lang w:val="en-US" w:eastAsia="en-US"/>
        </w:rPr>
        <w:t>have been</w:t>
      </w:r>
      <w:r w:rsidRPr="00C04132">
        <w:rPr>
          <w:rFonts w:ascii="Arial Nova Light" w:eastAsia="Verdana" w:hAnsi="Arial Nova Light" w:cs="Verdana"/>
          <w:color w:val="auto"/>
          <w:sz w:val="22"/>
          <w:szCs w:val="20"/>
          <w:lang w:val="en-US" w:eastAsia="en-US"/>
        </w:rPr>
        <w:t xml:space="preserve"> amended </w:t>
      </w:r>
      <w:r w:rsidR="004B56EC">
        <w:rPr>
          <w:rFonts w:ascii="Arial Nova Light" w:eastAsia="Verdana" w:hAnsi="Arial Nova Light" w:cs="Verdana"/>
          <w:color w:val="auto"/>
          <w:sz w:val="22"/>
          <w:szCs w:val="20"/>
          <w:lang w:val="en-US" w:eastAsia="en-US"/>
        </w:rPr>
        <w:t xml:space="preserve">by the CSU </w:t>
      </w:r>
      <w:r w:rsidRPr="00C04132">
        <w:rPr>
          <w:rFonts w:ascii="Arial Nova Light" w:eastAsia="Verdana" w:hAnsi="Arial Nova Light" w:cs="Verdana"/>
          <w:color w:val="auto"/>
          <w:sz w:val="22"/>
          <w:szCs w:val="20"/>
          <w:lang w:val="en-US" w:eastAsia="en-US"/>
        </w:rPr>
        <w:t>including Computers, Internet Routers and mobile devices.</w:t>
      </w:r>
    </w:p>
    <w:p w14:paraId="1742EF38" w14:textId="3FD31B26" w:rsidR="00C04132" w:rsidRPr="00C04132" w:rsidRDefault="00C04132" w:rsidP="002677C7">
      <w:pPr>
        <w:pStyle w:val="Default"/>
        <w:numPr>
          <w:ilvl w:val="0"/>
          <w:numId w:val="36"/>
        </w:numPr>
        <w:spacing w:before="120" w:line="360" w:lineRule="auto"/>
        <w:rPr>
          <w:rFonts w:ascii="Arial Nova Light" w:eastAsia="Verdana" w:hAnsi="Arial Nova Light" w:cs="Verdana"/>
          <w:color w:val="auto"/>
          <w:sz w:val="22"/>
          <w:szCs w:val="20"/>
          <w:lang w:val="en-US" w:eastAsia="en-US"/>
        </w:rPr>
      </w:pPr>
      <w:r w:rsidRPr="00C04132">
        <w:rPr>
          <w:rFonts w:ascii="Arial Nova Light" w:eastAsia="Verdana" w:hAnsi="Arial Nova Light" w:cs="Verdana"/>
          <w:color w:val="auto"/>
          <w:sz w:val="22"/>
          <w:szCs w:val="20"/>
          <w:lang w:val="en-US" w:eastAsia="en-US"/>
        </w:rPr>
        <w:t>System Administrator access to systems must be provided only to nominated, limited individuals and those accounts must also be subject to audit.</w:t>
      </w:r>
    </w:p>
    <w:p w14:paraId="7DDFEA5E" w14:textId="7B7800EF" w:rsidR="00C04132" w:rsidRPr="002677C7" w:rsidRDefault="00C04132" w:rsidP="002677C7">
      <w:pPr>
        <w:pStyle w:val="ListParagraph"/>
        <w:numPr>
          <w:ilvl w:val="0"/>
          <w:numId w:val="36"/>
        </w:numPr>
        <w:ind w:right="-694"/>
        <w:rPr>
          <w:rFonts w:asciiTheme="minorHAnsi" w:hAnsiTheme="minorHAnsi" w:cstheme="minorHAnsi"/>
        </w:rPr>
      </w:pPr>
      <w:r w:rsidRPr="002677C7">
        <w:rPr>
          <w:rFonts w:eastAsia="Verdana" w:cs="Verdana"/>
          <w:szCs w:val="20"/>
          <w:lang w:val="en-US"/>
        </w:rPr>
        <w:t>Users must change their passwords periodically and the password must meet a pre-defined threshold.</w:t>
      </w:r>
    </w:p>
    <w:p w14:paraId="4F60D790" w14:textId="06DD865B" w:rsidR="00B93ACF" w:rsidRPr="00C04132" w:rsidRDefault="00C04132" w:rsidP="002677C7">
      <w:pPr>
        <w:pStyle w:val="Default"/>
        <w:numPr>
          <w:ilvl w:val="0"/>
          <w:numId w:val="36"/>
        </w:numPr>
        <w:spacing w:before="120" w:line="360" w:lineRule="auto"/>
        <w:rPr>
          <w:rFonts w:ascii="Arial Nova Light" w:eastAsia="Verdana" w:hAnsi="Arial Nova Light" w:cs="Verdana"/>
          <w:color w:val="auto"/>
          <w:sz w:val="22"/>
          <w:szCs w:val="20"/>
          <w:lang w:val="en-US" w:eastAsia="en-US"/>
        </w:rPr>
      </w:pPr>
      <w:r w:rsidRPr="00C04132">
        <w:rPr>
          <w:rFonts w:ascii="Arial Nova Light" w:eastAsia="Verdana" w:hAnsi="Arial Nova Light" w:cs="Verdana"/>
          <w:color w:val="auto"/>
          <w:sz w:val="22"/>
          <w:szCs w:val="20"/>
          <w:lang w:val="en-US" w:eastAsia="en-US"/>
        </w:rPr>
        <w:t>Passwords must not be shared or written down.</w:t>
      </w:r>
    </w:p>
    <w:p w14:paraId="5A1915D3" w14:textId="710D7130" w:rsidR="00C04132" w:rsidRDefault="00C04132" w:rsidP="002677C7">
      <w:pPr>
        <w:pStyle w:val="ListParagraph"/>
        <w:numPr>
          <w:ilvl w:val="0"/>
          <w:numId w:val="36"/>
        </w:numPr>
      </w:pPr>
      <w:r>
        <w:t xml:space="preserve">Password changes must be authorised via the </w:t>
      </w:r>
      <w:r w:rsidR="00B93ACF">
        <w:t xml:space="preserve">User Authorisation Process at Appendix </w:t>
      </w:r>
      <w:r w:rsidR="00450407">
        <w:t>A</w:t>
      </w:r>
      <w:r w:rsidR="00B93ACF">
        <w:t>.</w:t>
      </w:r>
      <w:r>
        <w:t xml:space="preserve"> </w:t>
      </w:r>
    </w:p>
    <w:p w14:paraId="0F673119" w14:textId="6DB6829A" w:rsidR="00C04132" w:rsidRDefault="00C04132" w:rsidP="002677C7">
      <w:pPr>
        <w:pStyle w:val="ListParagraph"/>
        <w:numPr>
          <w:ilvl w:val="0"/>
          <w:numId w:val="36"/>
        </w:numPr>
      </w:pPr>
      <w:r>
        <w:t xml:space="preserve">Authorisation of users must be in line with the User Authorisation Process at </w:t>
      </w:r>
      <w:r w:rsidR="005E3623" w:rsidRPr="002677C7">
        <w:rPr>
          <w:rFonts w:eastAsia="Verdana" w:cs="Verdana"/>
          <w:szCs w:val="20"/>
          <w:lang w:val="en-US"/>
        </w:rPr>
        <w:t xml:space="preserve">Appendix </w:t>
      </w:r>
      <w:r w:rsidR="00450407" w:rsidRPr="002677C7">
        <w:rPr>
          <w:rFonts w:eastAsia="Verdana" w:cs="Verdana"/>
          <w:szCs w:val="20"/>
          <w:lang w:val="en-US"/>
        </w:rPr>
        <w:t>A</w:t>
      </w:r>
      <w:r w:rsidRPr="002677C7">
        <w:rPr>
          <w:rFonts w:eastAsia="Verdana" w:cs="Verdana"/>
          <w:szCs w:val="20"/>
          <w:lang w:val="en-US"/>
        </w:rPr>
        <w:t>.</w:t>
      </w:r>
    </w:p>
    <w:p w14:paraId="28DBDAEF" w14:textId="47FD43EA" w:rsidR="00C04132" w:rsidRDefault="00C04132" w:rsidP="002677C7">
      <w:pPr>
        <w:pStyle w:val="ListParagraph"/>
        <w:numPr>
          <w:ilvl w:val="0"/>
          <w:numId w:val="36"/>
        </w:numPr>
      </w:pPr>
      <w:r>
        <w:t xml:space="preserve">Role Based Access Controls </w:t>
      </w:r>
      <w:r w:rsidR="00336052">
        <w:t>will</w:t>
      </w:r>
      <w:r>
        <w:t xml:space="preserve"> be implemented to ensure that access is limited to the correct individuals and the correct information assets.</w:t>
      </w:r>
    </w:p>
    <w:p w14:paraId="5A23540E" w14:textId="77777777" w:rsidR="00C54B05" w:rsidRDefault="00C54B05" w:rsidP="00C54B05"/>
    <w:p w14:paraId="6E91664F" w14:textId="1FBB159E" w:rsidR="00437286" w:rsidRDefault="00437286" w:rsidP="00437286">
      <w:pPr>
        <w:pStyle w:val="Heading1"/>
        <w:ind w:left="360"/>
      </w:pPr>
      <w:bookmarkStart w:id="13" w:name="_Toc66882533"/>
      <w:r>
        <w:lastRenderedPageBreak/>
        <w:t>Use of Personal Devices</w:t>
      </w:r>
      <w:bookmarkEnd w:id="13"/>
    </w:p>
    <w:p w14:paraId="059C57B0" w14:textId="778DDD55" w:rsidR="00437286" w:rsidRDefault="00437286" w:rsidP="002677C7">
      <w:pPr>
        <w:pStyle w:val="ListParagraph"/>
        <w:numPr>
          <w:ilvl w:val="0"/>
          <w:numId w:val="41"/>
        </w:numPr>
      </w:pPr>
      <w:r>
        <w:t>Line Managers are responsible for ensuring that:</w:t>
      </w:r>
    </w:p>
    <w:p w14:paraId="59DCAFC3" w14:textId="2B29E8BD" w:rsidR="00437286" w:rsidRDefault="00437286" w:rsidP="002677C7">
      <w:pPr>
        <w:pStyle w:val="ListParagraph"/>
        <w:numPr>
          <w:ilvl w:val="1"/>
          <w:numId w:val="36"/>
        </w:numPr>
      </w:pPr>
      <w:r>
        <w:t xml:space="preserve">Staff have an appropriate business need to </w:t>
      </w:r>
      <w:r w:rsidR="002677C7">
        <w:t>use their personal device for work and that other options are not available (such as IT issued devices)</w:t>
      </w:r>
      <w:r>
        <w:t>.</w:t>
      </w:r>
    </w:p>
    <w:p w14:paraId="024FA7DB" w14:textId="17E96CB7" w:rsidR="00437286" w:rsidRDefault="00437286" w:rsidP="002677C7">
      <w:pPr>
        <w:pStyle w:val="ListParagraph"/>
        <w:numPr>
          <w:ilvl w:val="1"/>
          <w:numId w:val="36"/>
        </w:numPr>
      </w:pPr>
      <w:r>
        <w:t>Staff comply with this protocol and associated procedures.</w:t>
      </w:r>
    </w:p>
    <w:p w14:paraId="44E73222" w14:textId="1DF5E571" w:rsidR="00437286" w:rsidRDefault="00437286" w:rsidP="002677C7">
      <w:pPr>
        <w:pStyle w:val="ListParagraph"/>
        <w:numPr>
          <w:ilvl w:val="1"/>
          <w:numId w:val="36"/>
        </w:numPr>
      </w:pPr>
      <w:r>
        <w:t>the correct process is followed to on-board staff which typically starts with a service request to the IT Service Desk</w:t>
      </w:r>
    </w:p>
    <w:p w14:paraId="747B1752" w14:textId="7DFDB003" w:rsidR="00437286" w:rsidRDefault="00437286" w:rsidP="002677C7">
      <w:pPr>
        <w:pStyle w:val="ListParagraph"/>
        <w:numPr>
          <w:ilvl w:val="1"/>
          <w:numId w:val="36"/>
        </w:numPr>
      </w:pPr>
      <w:r>
        <w:t>They take disciplinary action as appropriate against any member of staff in breach of this protocol.</w:t>
      </w:r>
    </w:p>
    <w:p w14:paraId="313A94E2" w14:textId="71BF6470" w:rsidR="00437286" w:rsidRDefault="00437286" w:rsidP="002677C7">
      <w:pPr>
        <w:pStyle w:val="ListParagraph"/>
        <w:numPr>
          <w:ilvl w:val="1"/>
          <w:numId w:val="36"/>
        </w:numPr>
      </w:pPr>
      <w:r>
        <w:t>notify any suspected breaches of this protocol to the Data Protection Officer</w:t>
      </w:r>
    </w:p>
    <w:p w14:paraId="2F6E71C0" w14:textId="4F6E5DB2" w:rsidR="00437286" w:rsidRDefault="00437286" w:rsidP="002677C7">
      <w:pPr>
        <w:pStyle w:val="ListParagraph"/>
        <w:numPr>
          <w:ilvl w:val="1"/>
          <w:numId w:val="36"/>
        </w:numPr>
      </w:pPr>
      <w:r>
        <w:t xml:space="preserve">Immediately notify the </w:t>
      </w:r>
      <w:r w:rsidR="002677C7">
        <w:t>appropriate IT Lead</w:t>
      </w:r>
      <w:r>
        <w:t xml:space="preserve"> if a staff member leaves or no longer requires </w:t>
      </w:r>
      <w:r w:rsidR="002677C7">
        <w:t>to use their personal device for work purposes</w:t>
      </w:r>
      <w:r>
        <w:t>.</w:t>
      </w:r>
    </w:p>
    <w:p w14:paraId="3D7B88F7" w14:textId="173CBAA7" w:rsidR="00437286" w:rsidRDefault="00437286" w:rsidP="002677C7">
      <w:pPr>
        <w:pStyle w:val="ListParagraph"/>
        <w:numPr>
          <w:ilvl w:val="1"/>
          <w:numId w:val="36"/>
        </w:numPr>
      </w:pPr>
      <w:r>
        <w:t xml:space="preserve">Follow </w:t>
      </w:r>
      <w:r w:rsidR="002677C7">
        <w:t xml:space="preserve">the </w:t>
      </w:r>
      <w:r>
        <w:t xml:space="preserve">Leaver’s Process </w:t>
      </w:r>
      <w:r w:rsidR="002677C7">
        <w:t>to remove access to software and systems as appropriate</w:t>
      </w:r>
    </w:p>
    <w:p w14:paraId="2A14750F" w14:textId="77777777" w:rsidR="002677C7" w:rsidRDefault="002677C7" w:rsidP="00437286">
      <w:pPr>
        <w:pStyle w:val="ListParagraph"/>
        <w:numPr>
          <w:ilvl w:val="0"/>
          <w:numId w:val="36"/>
        </w:numPr>
      </w:pPr>
      <w:r>
        <w:t xml:space="preserve">Practice </w:t>
      </w:r>
      <w:r w:rsidR="00437286">
        <w:t>who are using their own device for work purposes, must, without exception;</w:t>
      </w:r>
    </w:p>
    <w:p w14:paraId="40D99D0D" w14:textId="77777777" w:rsidR="002677C7" w:rsidRDefault="00437286" w:rsidP="00437286">
      <w:pPr>
        <w:pStyle w:val="ListParagraph"/>
        <w:numPr>
          <w:ilvl w:val="1"/>
          <w:numId w:val="36"/>
        </w:numPr>
      </w:pPr>
      <w:r>
        <w:t>Abide by this and associated policies &amp; procedures.</w:t>
      </w:r>
    </w:p>
    <w:p w14:paraId="6664E16C" w14:textId="77777777" w:rsidR="002677C7" w:rsidRDefault="00437286" w:rsidP="00437286">
      <w:pPr>
        <w:pStyle w:val="ListParagraph"/>
        <w:numPr>
          <w:ilvl w:val="1"/>
          <w:numId w:val="36"/>
        </w:numPr>
      </w:pPr>
      <w:r>
        <w:t>Report any suspected breaches of this protocol to their line manager or the Data Protection Officer</w:t>
      </w:r>
    </w:p>
    <w:p w14:paraId="68926343" w14:textId="77777777" w:rsidR="002677C7" w:rsidRDefault="00437286" w:rsidP="00437286">
      <w:pPr>
        <w:pStyle w:val="ListParagraph"/>
        <w:numPr>
          <w:ilvl w:val="1"/>
          <w:numId w:val="36"/>
        </w:numPr>
      </w:pPr>
      <w:r>
        <w:t>Understand that failure to comply with the rules contained in this protocol, or any attempt to circumvent the security controls, may result in the withdrawal of this facility and/or disciplinary action.</w:t>
      </w:r>
    </w:p>
    <w:p w14:paraId="257917EE" w14:textId="77777777" w:rsidR="002677C7" w:rsidRDefault="00437286" w:rsidP="00437286">
      <w:pPr>
        <w:pStyle w:val="ListParagraph"/>
        <w:numPr>
          <w:ilvl w:val="1"/>
          <w:numId w:val="36"/>
        </w:numPr>
      </w:pPr>
      <w:r>
        <w:t xml:space="preserve">Report the loss or theft of </w:t>
      </w:r>
      <w:r w:rsidR="002677C7">
        <w:t xml:space="preserve">a personal device being used for work purposes </w:t>
      </w:r>
      <w:r>
        <w:t xml:space="preserve">to </w:t>
      </w:r>
      <w:r w:rsidR="002677C7">
        <w:t>their line manager</w:t>
      </w:r>
      <w:r>
        <w:t xml:space="preserve"> at the earliest possible opportunity.</w:t>
      </w:r>
    </w:p>
    <w:p w14:paraId="75D7E7B4" w14:textId="77777777" w:rsidR="002677C7" w:rsidRDefault="00437286" w:rsidP="00437286">
      <w:pPr>
        <w:pStyle w:val="ListParagraph"/>
        <w:numPr>
          <w:ilvl w:val="1"/>
          <w:numId w:val="36"/>
        </w:numPr>
      </w:pPr>
      <w:r>
        <w:t xml:space="preserve">Inform the IT Service Provider if </w:t>
      </w:r>
      <w:r w:rsidR="002677C7">
        <w:t>use of personal device for work purposes</w:t>
      </w:r>
      <w:r>
        <w:t xml:space="preserve"> is no longer required and access to the application</w:t>
      </w:r>
      <w:r w:rsidR="002677C7">
        <w:t>s</w:t>
      </w:r>
      <w:r>
        <w:t xml:space="preserve"> will be removed and </w:t>
      </w:r>
      <w:r w:rsidR="002677C7">
        <w:t>relevant data d</w:t>
      </w:r>
      <w:r>
        <w:t>eleted.</w:t>
      </w:r>
    </w:p>
    <w:p w14:paraId="160BD61D" w14:textId="77777777" w:rsidR="00185E3B" w:rsidRDefault="00437286" w:rsidP="00437286">
      <w:pPr>
        <w:pStyle w:val="ListParagraph"/>
        <w:numPr>
          <w:ilvl w:val="1"/>
          <w:numId w:val="36"/>
        </w:numPr>
      </w:pPr>
      <w:r>
        <w:t xml:space="preserve">Report any lost or stolen devices to </w:t>
      </w:r>
      <w:r w:rsidR="00185E3B">
        <w:t>line manager</w:t>
      </w:r>
      <w:r>
        <w:t xml:space="preserve"> and Data Protection Officer immediately</w:t>
      </w:r>
    </w:p>
    <w:p w14:paraId="51A29E9F" w14:textId="77777777" w:rsidR="00185E3B" w:rsidRDefault="00437286" w:rsidP="00437286">
      <w:pPr>
        <w:pStyle w:val="ListParagraph"/>
        <w:numPr>
          <w:ilvl w:val="1"/>
          <w:numId w:val="36"/>
        </w:numPr>
      </w:pPr>
      <w:r>
        <w:t>Keep their username and password secret and not allow anybody else to access the information.</w:t>
      </w:r>
    </w:p>
    <w:p w14:paraId="510FE529" w14:textId="15342BF9" w:rsidR="00185E3B" w:rsidRDefault="00437286" w:rsidP="00437286">
      <w:pPr>
        <w:pStyle w:val="ListParagraph"/>
        <w:numPr>
          <w:ilvl w:val="1"/>
          <w:numId w:val="36"/>
        </w:numPr>
      </w:pPr>
      <w:r>
        <w:t>Take suitable precautions to protect the physical asset in transit and in work locations.</w:t>
      </w:r>
    </w:p>
    <w:p w14:paraId="0D87AF86" w14:textId="6053B6B0" w:rsidR="00C54B05" w:rsidRDefault="00211554" w:rsidP="00437286">
      <w:pPr>
        <w:pStyle w:val="ListParagraph"/>
        <w:numPr>
          <w:ilvl w:val="1"/>
          <w:numId w:val="36"/>
        </w:numPr>
      </w:pPr>
      <w:r>
        <w:t>N</w:t>
      </w:r>
      <w:r w:rsidR="00C54B05">
        <w:t>ot use a shared / communal device</w:t>
      </w:r>
    </w:p>
    <w:p w14:paraId="6BA87823" w14:textId="3CCD4477" w:rsidR="00C54B05" w:rsidRDefault="00211554" w:rsidP="00C54B05">
      <w:pPr>
        <w:pStyle w:val="ListParagraph"/>
        <w:numPr>
          <w:ilvl w:val="1"/>
          <w:numId w:val="36"/>
        </w:numPr>
      </w:pPr>
      <w:r>
        <w:lastRenderedPageBreak/>
        <w:t>N</w:t>
      </w:r>
      <w:r w:rsidR="00C54B05">
        <w:t>ot storing personal/confidential patient information on the device unless absolutely necessary and appropriate security is in place.</w:t>
      </w:r>
    </w:p>
    <w:p w14:paraId="13A3E0FC" w14:textId="0C7D6285" w:rsidR="00C54B05" w:rsidRDefault="000F1752" w:rsidP="00C54B05">
      <w:pPr>
        <w:pStyle w:val="ListParagraph"/>
        <w:numPr>
          <w:ilvl w:val="1"/>
          <w:numId w:val="36"/>
        </w:numPr>
      </w:pPr>
      <w:r>
        <w:t>S</w:t>
      </w:r>
      <w:r w:rsidR="00C54B05">
        <w:t>afely transfer</w:t>
      </w:r>
      <w:r>
        <w:t xml:space="preserve"> information</w:t>
      </w:r>
      <w:r w:rsidR="00C54B05">
        <w:t xml:space="preserve"> to the appropriate health and care record as soon as it is practical to do so.</w:t>
      </w:r>
    </w:p>
    <w:p w14:paraId="05DAC788" w14:textId="77777777" w:rsidR="00C54B05" w:rsidRDefault="00C54B05" w:rsidP="00C54B05">
      <w:pPr>
        <w:pStyle w:val="ListParagraph"/>
        <w:numPr>
          <w:ilvl w:val="1"/>
          <w:numId w:val="36"/>
        </w:numPr>
      </w:pPr>
      <w:r>
        <w:t>Avoid downloading software or videos / open suspicious links</w:t>
      </w:r>
    </w:p>
    <w:p w14:paraId="39E9249B" w14:textId="2B31C3CD" w:rsidR="00C54B05" w:rsidRDefault="00C54B05" w:rsidP="00C54B05">
      <w:pPr>
        <w:pStyle w:val="ListParagraph"/>
        <w:numPr>
          <w:ilvl w:val="1"/>
          <w:numId w:val="36"/>
        </w:numPr>
      </w:pPr>
      <w:r>
        <w:t>Where provided</w:t>
      </w:r>
      <w:r w:rsidR="000F1752">
        <w:t>,</w:t>
      </w:r>
      <w:r>
        <w:t xml:space="preserve"> use software such as Away from my desk / VPN</w:t>
      </w:r>
    </w:p>
    <w:p w14:paraId="4687A2D0" w14:textId="3C552EE6" w:rsidR="00C54B05" w:rsidRDefault="000F1752" w:rsidP="00C54B05">
      <w:pPr>
        <w:pStyle w:val="ListParagraph"/>
        <w:numPr>
          <w:ilvl w:val="1"/>
          <w:numId w:val="36"/>
        </w:numPr>
      </w:pPr>
      <w:r>
        <w:t>N</w:t>
      </w:r>
      <w:r w:rsidR="00C54B05">
        <w:t>ot print out documents on home printer, instead store in shared drive</w:t>
      </w:r>
    </w:p>
    <w:p w14:paraId="62BCB1ED" w14:textId="77777777" w:rsidR="00C54B05" w:rsidRDefault="00C54B05" w:rsidP="00C54B05">
      <w:pPr>
        <w:pStyle w:val="ListParagraph"/>
        <w:numPr>
          <w:ilvl w:val="1"/>
          <w:numId w:val="36"/>
        </w:numPr>
      </w:pPr>
      <w:r>
        <w:t>Log out of all software and systems, including emails, when not in use</w:t>
      </w:r>
    </w:p>
    <w:p w14:paraId="102A8AEB" w14:textId="77777777" w:rsidR="00C54B05" w:rsidRDefault="00C54B05" w:rsidP="00C54B05">
      <w:pPr>
        <w:pStyle w:val="ListParagraph"/>
        <w:numPr>
          <w:ilvl w:val="1"/>
          <w:numId w:val="36"/>
        </w:numPr>
      </w:pPr>
      <w:r>
        <w:t>Within NHS Mail, only view documents in browser and do not download</w:t>
      </w:r>
    </w:p>
    <w:p w14:paraId="2A3A543E" w14:textId="77777777" w:rsidR="00C54B05" w:rsidRDefault="00C54B05" w:rsidP="00C54B05">
      <w:pPr>
        <w:pStyle w:val="ListParagraph"/>
        <w:numPr>
          <w:ilvl w:val="1"/>
          <w:numId w:val="36"/>
        </w:numPr>
      </w:pPr>
      <w:r>
        <w:t>Where possible create a normal “user” account on the laptop without admin capabilities to undertake the work</w:t>
      </w:r>
    </w:p>
    <w:p w14:paraId="1E73534A" w14:textId="77777777" w:rsidR="00C54B05" w:rsidRDefault="00C54B05" w:rsidP="00C54B05">
      <w:pPr>
        <w:pStyle w:val="ListParagraph"/>
        <w:numPr>
          <w:ilvl w:val="1"/>
          <w:numId w:val="36"/>
        </w:numPr>
      </w:pPr>
      <w:r>
        <w:t>Additionally, no documents should be downloaded to the laptop unless absolutely necessary, attachments to emails can be viewed in browser but there may other systems or portals accessed that permit the download of documents.</w:t>
      </w:r>
    </w:p>
    <w:p w14:paraId="756E5E01" w14:textId="77777777" w:rsidR="00C54B05" w:rsidRDefault="00C54B05" w:rsidP="00C54B05">
      <w:pPr>
        <w:pStyle w:val="ListParagraph"/>
        <w:numPr>
          <w:ilvl w:val="1"/>
          <w:numId w:val="36"/>
        </w:numPr>
      </w:pPr>
      <w:r>
        <w:t>If documents can be viewed online staff should only do so</w:t>
      </w:r>
    </w:p>
    <w:p w14:paraId="1F88ED81" w14:textId="315C424A" w:rsidR="00C54B05" w:rsidRDefault="00C54B05" w:rsidP="00C54B05">
      <w:pPr>
        <w:pStyle w:val="ListParagraph"/>
        <w:numPr>
          <w:ilvl w:val="1"/>
          <w:numId w:val="36"/>
        </w:numPr>
      </w:pPr>
      <w:r>
        <w:t>If it is necessary to download, staff should delete their download history and empty their recycling bin at the end of each work session.</w:t>
      </w:r>
    </w:p>
    <w:p w14:paraId="1C741FE2" w14:textId="5B24290D" w:rsidR="00437286" w:rsidRPr="00185E3B" w:rsidRDefault="00437286" w:rsidP="00437286">
      <w:pPr>
        <w:rPr>
          <w:rFonts w:asciiTheme="majorHAnsi" w:eastAsiaTheme="majorEastAsia" w:hAnsiTheme="majorHAnsi" w:cstheme="majorBidi"/>
          <w:color w:val="2F5496" w:themeColor="accent1" w:themeShade="BF"/>
          <w:sz w:val="32"/>
          <w:szCs w:val="32"/>
        </w:rPr>
      </w:pPr>
      <w:r>
        <w:t xml:space="preserve">4. </w:t>
      </w:r>
      <w:r w:rsidRPr="00185E3B">
        <w:rPr>
          <w:rFonts w:asciiTheme="majorHAnsi" w:eastAsiaTheme="majorEastAsia" w:hAnsiTheme="majorHAnsi" w:cstheme="majorBidi"/>
          <w:color w:val="2F5496" w:themeColor="accent1" w:themeShade="BF"/>
          <w:sz w:val="32"/>
          <w:szCs w:val="32"/>
        </w:rPr>
        <w:t xml:space="preserve">Setting up </w:t>
      </w:r>
      <w:r w:rsidR="00185E3B">
        <w:rPr>
          <w:rFonts w:asciiTheme="majorHAnsi" w:eastAsiaTheme="majorEastAsia" w:hAnsiTheme="majorHAnsi" w:cstheme="majorBidi"/>
          <w:color w:val="2F5496" w:themeColor="accent1" w:themeShade="BF"/>
          <w:sz w:val="32"/>
          <w:szCs w:val="32"/>
        </w:rPr>
        <w:t>Personal Device Use</w:t>
      </w:r>
      <w:r w:rsidRPr="00185E3B">
        <w:rPr>
          <w:rFonts w:asciiTheme="majorHAnsi" w:eastAsiaTheme="majorEastAsia" w:hAnsiTheme="majorHAnsi" w:cstheme="majorBidi"/>
          <w:color w:val="2F5496" w:themeColor="accent1" w:themeShade="BF"/>
          <w:sz w:val="32"/>
          <w:szCs w:val="32"/>
        </w:rPr>
        <w:t xml:space="preserve"> for New Starters (laptops and computers)</w:t>
      </w:r>
    </w:p>
    <w:p w14:paraId="1B0A27AB" w14:textId="77777777" w:rsidR="00185E3B" w:rsidRDefault="00437286" w:rsidP="00185E3B">
      <w:pPr>
        <w:pStyle w:val="ListParagraph"/>
        <w:numPr>
          <w:ilvl w:val="0"/>
          <w:numId w:val="43"/>
        </w:numPr>
      </w:pPr>
      <w:r>
        <w:t xml:space="preserve">Whereas </w:t>
      </w:r>
      <w:r w:rsidR="00185E3B">
        <w:t xml:space="preserve">IT issued devices are configured </w:t>
      </w:r>
      <w:r>
        <w:t>for appropriate security and remote management, this is not in place for personally owned devices and so particular steps are taken to reduce the risk t</w:t>
      </w:r>
      <w:r w:rsidR="00185E3B">
        <w:t>o practice data</w:t>
      </w:r>
      <w:r>
        <w:t>.</w:t>
      </w:r>
      <w:r>
        <w:tab/>
      </w:r>
    </w:p>
    <w:p w14:paraId="51948321" w14:textId="77777777" w:rsidR="00185E3B" w:rsidRDefault="00437286" w:rsidP="00437286">
      <w:pPr>
        <w:pStyle w:val="ListParagraph"/>
        <w:numPr>
          <w:ilvl w:val="0"/>
          <w:numId w:val="43"/>
        </w:numPr>
      </w:pPr>
      <w:r>
        <w:t xml:space="preserve">When a new member of staff joins </w:t>
      </w:r>
      <w:r w:rsidR="00185E3B">
        <w:t>the practice</w:t>
      </w:r>
      <w:r>
        <w:t xml:space="preserve">, the </w:t>
      </w:r>
      <w:r w:rsidR="00185E3B">
        <w:t>Management</w:t>
      </w:r>
      <w:r>
        <w:t xml:space="preserve"> Team will make enquiries around whether a </w:t>
      </w:r>
      <w:r w:rsidR="00185E3B">
        <w:t>practice issued device</w:t>
      </w:r>
      <w:r>
        <w:t xml:space="preserve"> will be issued to the new starter.</w:t>
      </w:r>
    </w:p>
    <w:p w14:paraId="0FC622F0" w14:textId="0B3CD3B7" w:rsidR="00437286" w:rsidRDefault="00437286" w:rsidP="00437286">
      <w:pPr>
        <w:pStyle w:val="ListParagraph"/>
        <w:numPr>
          <w:ilvl w:val="0"/>
          <w:numId w:val="43"/>
        </w:numPr>
      </w:pPr>
      <w:r>
        <w:t xml:space="preserve">Where it is confirmed that the staff member will be using their own device, </w:t>
      </w:r>
      <w:r w:rsidR="00185E3B">
        <w:t xml:space="preserve">management must perform the following checks </w:t>
      </w:r>
      <w:r w:rsidR="000712F6">
        <w:t>regarding the personal device;</w:t>
      </w:r>
    </w:p>
    <w:p w14:paraId="5E53C8B8" w14:textId="77777777" w:rsidR="000712F6" w:rsidRDefault="000712F6" w:rsidP="00437286">
      <w:pPr>
        <w:pStyle w:val="ListParagraph"/>
        <w:numPr>
          <w:ilvl w:val="1"/>
          <w:numId w:val="43"/>
        </w:numPr>
      </w:pPr>
      <w:r>
        <w:t>Confirm</w:t>
      </w:r>
      <w:r w:rsidR="00437286">
        <w:t xml:space="preserve"> that anti-virus software is installed and </w:t>
      </w:r>
      <w:r>
        <w:t>will automatically update</w:t>
      </w:r>
      <w:r w:rsidR="00437286">
        <w:t>.</w:t>
      </w:r>
    </w:p>
    <w:p w14:paraId="44D0C740" w14:textId="77777777" w:rsidR="000712F6" w:rsidRDefault="000712F6" w:rsidP="00437286">
      <w:pPr>
        <w:pStyle w:val="ListParagraph"/>
        <w:numPr>
          <w:ilvl w:val="1"/>
          <w:numId w:val="43"/>
        </w:numPr>
      </w:pPr>
      <w:r>
        <w:t>Confirm</w:t>
      </w:r>
      <w:r w:rsidR="00437286">
        <w:t xml:space="preserve"> that encryption software is in place.</w:t>
      </w:r>
    </w:p>
    <w:p w14:paraId="6E8CF2DA" w14:textId="77777777" w:rsidR="000712F6" w:rsidRDefault="000712F6" w:rsidP="00437286">
      <w:pPr>
        <w:pStyle w:val="ListParagraph"/>
        <w:numPr>
          <w:ilvl w:val="1"/>
          <w:numId w:val="43"/>
        </w:numPr>
      </w:pPr>
      <w:r>
        <w:t>Confirm</w:t>
      </w:r>
      <w:r w:rsidR="00437286">
        <w:t xml:space="preserve"> that device access controls are in place.</w:t>
      </w:r>
    </w:p>
    <w:p w14:paraId="3514CD02" w14:textId="483E0016" w:rsidR="00437286" w:rsidRDefault="00437286" w:rsidP="00437286">
      <w:pPr>
        <w:pStyle w:val="ListParagraph"/>
        <w:numPr>
          <w:ilvl w:val="1"/>
          <w:numId w:val="43"/>
        </w:numPr>
      </w:pPr>
      <w:r>
        <w:t xml:space="preserve">Ensuring that access to </w:t>
      </w:r>
      <w:r w:rsidR="000712F6">
        <w:t>practice</w:t>
      </w:r>
      <w:r>
        <w:t xml:space="preserve"> data is via web browser and that no materials are downloaded to the </w:t>
      </w:r>
      <w:r w:rsidR="000712F6">
        <w:t>device</w:t>
      </w:r>
      <w:r>
        <w:t xml:space="preserve"> itself.</w:t>
      </w:r>
    </w:p>
    <w:p w14:paraId="0D9619D9" w14:textId="77777777" w:rsidR="008371B4" w:rsidRDefault="008371B4" w:rsidP="008371B4">
      <w:pPr>
        <w:pStyle w:val="ListParagraph"/>
      </w:pPr>
    </w:p>
    <w:p w14:paraId="23E5208A" w14:textId="61107D9E" w:rsidR="00E52B74" w:rsidRDefault="00E52B74" w:rsidP="00E52B74">
      <w:pPr>
        <w:pStyle w:val="ListParagraph"/>
        <w:numPr>
          <w:ilvl w:val="0"/>
          <w:numId w:val="43"/>
        </w:numPr>
      </w:pPr>
      <w:r>
        <w:lastRenderedPageBreak/>
        <w:t>For use of personal mobile phones, the following will be checked;</w:t>
      </w:r>
    </w:p>
    <w:p w14:paraId="4C6212A8" w14:textId="526A42BE" w:rsidR="00117D13" w:rsidRDefault="00117D13" w:rsidP="00117D13">
      <w:pPr>
        <w:pStyle w:val="ListParagraph"/>
        <w:numPr>
          <w:ilvl w:val="1"/>
          <w:numId w:val="43"/>
        </w:numPr>
      </w:pPr>
      <w:r>
        <w:t>S</w:t>
      </w:r>
      <w:r>
        <w:t xml:space="preserve">taff </w:t>
      </w:r>
      <w:r>
        <w:t xml:space="preserve">will not take patient photographs directly on their phone, outside of specialist, </w:t>
      </w:r>
      <w:r w:rsidR="008371B4">
        <w:t xml:space="preserve">practice </w:t>
      </w:r>
      <w:r>
        <w:t>approved software that facilitates photography</w:t>
      </w:r>
      <w:r w:rsidR="008371B4">
        <w:t>.</w:t>
      </w:r>
    </w:p>
    <w:p w14:paraId="5DC8F379" w14:textId="11016763" w:rsidR="00117D13" w:rsidRDefault="00117D13" w:rsidP="00117D13">
      <w:pPr>
        <w:pStyle w:val="ListParagraph"/>
        <w:numPr>
          <w:ilvl w:val="1"/>
          <w:numId w:val="43"/>
        </w:numPr>
      </w:pPr>
      <w:r>
        <w:t>Change Default Passwords / Pins on the mobile</w:t>
      </w:r>
    </w:p>
    <w:p w14:paraId="01314054" w14:textId="518F539B" w:rsidR="00117D13" w:rsidRDefault="00117D13" w:rsidP="00117D13">
      <w:pPr>
        <w:pStyle w:val="ListParagraph"/>
        <w:numPr>
          <w:ilvl w:val="1"/>
          <w:numId w:val="43"/>
        </w:numPr>
      </w:pPr>
      <w:r>
        <w:t xml:space="preserve">Use Two-Factor authentication </w:t>
      </w:r>
      <w:r w:rsidR="008371B4">
        <w:t>where</w:t>
      </w:r>
      <w:r>
        <w:t xml:space="preserve"> available</w:t>
      </w:r>
      <w:r w:rsidR="008371B4">
        <w:t>.</w:t>
      </w:r>
    </w:p>
    <w:p w14:paraId="597D820C" w14:textId="6CBD8AA3" w:rsidR="00117D13" w:rsidRDefault="00117D13" w:rsidP="00117D13">
      <w:pPr>
        <w:pStyle w:val="ListParagraph"/>
        <w:numPr>
          <w:ilvl w:val="1"/>
          <w:numId w:val="43"/>
        </w:numPr>
      </w:pPr>
      <w:r>
        <w:t>Remove any Unused Apps from Personal Mobiles and only Download Trusted Apps</w:t>
      </w:r>
    </w:p>
    <w:p w14:paraId="50AFF662" w14:textId="02874052" w:rsidR="00E52B74" w:rsidRDefault="00117D13" w:rsidP="00117D13">
      <w:pPr>
        <w:pStyle w:val="ListParagraph"/>
        <w:numPr>
          <w:ilvl w:val="1"/>
          <w:numId w:val="43"/>
        </w:numPr>
      </w:pPr>
      <w:r>
        <w:t xml:space="preserve">Ensure that staff access to software is removed when the </w:t>
      </w:r>
      <w:r w:rsidR="008371B4">
        <w:t>individual</w:t>
      </w:r>
      <w:r>
        <w:t xml:space="preserve"> leaves the practice</w:t>
      </w:r>
      <w:r w:rsidR="008371B4">
        <w:t>.</w:t>
      </w:r>
    </w:p>
    <w:p w14:paraId="21181D61" w14:textId="77777777" w:rsidR="000712F6" w:rsidRDefault="000712F6" w:rsidP="000712F6">
      <w:pPr>
        <w:pStyle w:val="ListParagraph"/>
      </w:pPr>
    </w:p>
    <w:p w14:paraId="6E9625C0" w14:textId="77777777" w:rsidR="000712F6" w:rsidRDefault="00437286" w:rsidP="00437286">
      <w:pPr>
        <w:pStyle w:val="ListParagraph"/>
        <w:numPr>
          <w:ilvl w:val="0"/>
          <w:numId w:val="43"/>
        </w:numPr>
      </w:pPr>
      <w:r>
        <w:t xml:space="preserve">Following the review, risks or issues will be reported by the </w:t>
      </w:r>
      <w:r w:rsidR="000712F6">
        <w:t>line manager</w:t>
      </w:r>
      <w:r>
        <w:t xml:space="preserve"> to the SIRO and DPO.</w:t>
      </w:r>
    </w:p>
    <w:p w14:paraId="328265EE" w14:textId="763B19E6" w:rsidR="00E52B74" w:rsidRDefault="00437286" w:rsidP="00437286">
      <w:pPr>
        <w:pStyle w:val="ListParagraph"/>
        <w:numPr>
          <w:ilvl w:val="0"/>
          <w:numId w:val="43"/>
        </w:numPr>
      </w:pPr>
      <w:r>
        <w:t xml:space="preserve">Following the review, </w:t>
      </w:r>
      <w:r w:rsidR="00E52B74">
        <w:t>evidence of the review must be retained by the practice.</w:t>
      </w:r>
    </w:p>
    <w:p w14:paraId="0A995635" w14:textId="0E94220B" w:rsidR="00C04132" w:rsidRPr="002B2FE8" w:rsidRDefault="00C04132" w:rsidP="00C04132">
      <w:pPr>
        <w:pStyle w:val="Heading1"/>
      </w:pPr>
      <w:bookmarkStart w:id="14" w:name="_Toc66882534"/>
      <w:r>
        <w:t>Accountability, Audit and Compliance</w:t>
      </w:r>
      <w:bookmarkEnd w:id="14"/>
    </w:p>
    <w:p w14:paraId="4EF730F4" w14:textId="39D45381" w:rsidR="00C04132" w:rsidRPr="00C04132" w:rsidRDefault="00C04132" w:rsidP="00C04132">
      <w:pPr>
        <w:rPr>
          <w:sz w:val="24"/>
          <w:szCs w:val="24"/>
        </w:rPr>
      </w:pPr>
      <w:r>
        <w:t xml:space="preserve">Information Assets Owners must be allocated for all key information assets and are responsible for monitoring risk, alerting the </w:t>
      </w:r>
      <w:r w:rsidR="00380F23">
        <w:t>Data Protection Lead</w:t>
      </w:r>
      <w:r>
        <w:t xml:space="preserve"> to changes or issues and overseeing the information security for the asset in question.</w:t>
      </w:r>
    </w:p>
    <w:p w14:paraId="10EAD2BB" w14:textId="2EACEFFF" w:rsidR="00C04132" w:rsidRDefault="00C04132" w:rsidP="00C04132">
      <w:r>
        <w:t>All information systems must have the facility to record changes made to data, monitor access to the system and report on data quality.</w:t>
      </w:r>
    </w:p>
    <w:p w14:paraId="1414EDD1" w14:textId="5AE3ADEF" w:rsidR="00C04132" w:rsidRPr="00C04132" w:rsidRDefault="00C04132" w:rsidP="00C04132">
      <w:r>
        <w:t>All information systems must have the facility to produce audit, such that such audits can identify inappropriate use or activity.</w:t>
      </w:r>
    </w:p>
    <w:p w14:paraId="0D3F2718" w14:textId="64E049E8" w:rsidR="00C04132" w:rsidRPr="002B2FE8" w:rsidRDefault="00C04132" w:rsidP="002B2FE8">
      <w:pPr>
        <w:pStyle w:val="Heading1"/>
      </w:pPr>
      <w:bookmarkStart w:id="15" w:name="_Toc494120470"/>
      <w:bookmarkStart w:id="16" w:name="_Toc66882535"/>
      <w:r w:rsidRPr="002B2FE8">
        <w:t>Information Risk</w:t>
      </w:r>
      <w:bookmarkEnd w:id="15"/>
      <w:bookmarkEnd w:id="16"/>
    </w:p>
    <w:p w14:paraId="1CAEAE13" w14:textId="04DB0113" w:rsidR="00C04132" w:rsidRDefault="00C04132" w:rsidP="00C04132">
      <w:r>
        <w:t>Reports must be produced quarterly that identify threats to and vulnerabilities of the confidentiality, availability and integrity of the organisation</w:t>
      </w:r>
      <w:r w:rsidR="00380F23">
        <w:t>’</w:t>
      </w:r>
      <w:r>
        <w:t>s information assets.</w:t>
      </w:r>
    </w:p>
    <w:p w14:paraId="0FA6AC90" w14:textId="26DEC6AA" w:rsidR="00C04132" w:rsidRDefault="00C04132" w:rsidP="00C04132">
      <w:r>
        <w:t xml:space="preserve">The impact of the threats must be considered at the </w:t>
      </w:r>
      <w:r w:rsidR="00045F8D">
        <w:t xml:space="preserve">appropriate </w:t>
      </w:r>
      <w:r w:rsidR="00B5607D">
        <w:rPr>
          <w:b/>
        </w:rPr>
        <w:t>The Practice</w:t>
      </w:r>
      <w:r w:rsidR="00045F8D">
        <w:t xml:space="preserve"> meeting</w:t>
      </w:r>
      <w:r>
        <w:t xml:space="preserve"> and appropriate physical, technical and organisational controls applied.</w:t>
      </w:r>
    </w:p>
    <w:p w14:paraId="446F5005" w14:textId="5B51CC1A" w:rsidR="00C04132" w:rsidRPr="00C04132" w:rsidRDefault="00C04132" w:rsidP="00C04132">
      <w:r w:rsidRPr="00C04132">
        <w:t xml:space="preserve">Information Security risks must be fed into </w:t>
      </w:r>
      <w:r w:rsidR="00B5607D">
        <w:t>The Practice</w:t>
      </w:r>
      <w:r w:rsidR="006316B6">
        <w:t>’s</w:t>
      </w:r>
      <w:r w:rsidRPr="00C04132">
        <w:t xml:space="preserve"> Information Risk Management</w:t>
      </w:r>
      <w:r>
        <w:t xml:space="preserve"> </w:t>
      </w:r>
      <w:r w:rsidRPr="00C04132">
        <w:t>Programme and aligned with the Plan, Do, Check, Act process identified in the Information Risk and Audit Protocol.</w:t>
      </w:r>
    </w:p>
    <w:p w14:paraId="77F96CCE" w14:textId="26B0A18B" w:rsidR="00C04132" w:rsidRPr="002B2FE8" w:rsidRDefault="00C04132" w:rsidP="00C04132">
      <w:pPr>
        <w:pStyle w:val="Heading1"/>
      </w:pPr>
      <w:bookmarkStart w:id="17" w:name="_Toc494120471"/>
      <w:bookmarkStart w:id="18" w:name="_Toc66882536"/>
      <w:r w:rsidRPr="002B2FE8">
        <w:lastRenderedPageBreak/>
        <w:t>Technical Controls</w:t>
      </w:r>
      <w:bookmarkEnd w:id="17"/>
      <w:bookmarkEnd w:id="18"/>
    </w:p>
    <w:p w14:paraId="6A003110" w14:textId="4C6A7F19" w:rsidR="00C04132" w:rsidRPr="00C04132" w:rsidRDefault="00C04132" w:rsidP="00C04132">
      <w:pPr>
        <w:rPr>
          <w:sz w:val="24"/>
          <w:szCs w:val="24"/>
        </w:rPr>
      </w:pPr>
      <w:r>
        <w:t>Only</w:t>
      </w:r>
      <w:r w:rsidR="00045F8D">
        <w:t xml:space="preserve"> </w:t>
      </w:r>
      <w:r w:rsidR="00B5607D">
        <w:rPr>
          <w:b/>
        </w:rPr>
        <w:t>Practice</w:t>
      </w:r>
      <w:r>
        <w:t xml:space="preserve"> issued encrypted media should be used by staff including CD, DVD, USB, mobile phones and computers.</w:t>
      </w:r>
    </w:p>
    <w:p w14:paraId="0F771DDF" w14:textId="52AC7D92" w:rsidR="00C04132" w:rsidRDefault="00C04132" w:rsidP="00C04132">
      <w:r>
        <w:t>Reports must be produced quarterly that identify performance and activity of firewalls and other malware countermeasures that protect the confidentiality, availability and integrity of the organisations information assets.</w:t>
      </w:r>
    </w:p>
    <w:p w14:paraId="03846181" w14:textId="18C33554" w:rsidR="00C04132" w:rsidRDefault="00C04132" w:rsidP="00C04132">
      <w:r>
        <w:t>The impact of the threats must be considered at the Information Governance Steering Group and appropriate physical, technical and organisational controls applied.</w:t>
      </w:r>
    </w:p>
    <w:p w14:paraId="162ED89F" w14:textId="5EE63235" w:rsidR="00C04132" w:rsidRDefault="00C04132" w:rsidP="00C04132">
      <w:r>
        <w:t xml:space="preserve">Firewalls must be activated on all </w:t>
      </w:r>
      <w:r w:rsidR="00B5607D">
        <w:rPr>
          <w:b/>
        </w:rPr>
        <w:t>Practice</w:t>
      </w:r>
      <w:r>
        <w:t xml:space="preserve"> computers and devices that connect to the internet</w:t>
      </w:r>
      <w:r w:rsidR="004B56EC">
        <w:t>.</w:t>
      </w:r>
    </w:p>
    <w:p w14:paraId="0F702D20" w14:textId="5AAEA459" w:rsidR="00C04132" w:rsidRDefault="00C04132" w:rsidP="00C04132">
      <w:r>
        <w:t xml:space="preserve">Default settings for firewalls must be changed on all computers, devices and routers </w:t>
      </w:r>
    </w:p>
    <w:p w14:paraId="0ABAC455" w14:textId="27D50373" w:rsidR="00C04132" w:rsidRDefault="00C04132" w:rsidP="00C04132">
      <w:r>
        <w:t>Software applications that are not used, must be removed from all computers and devices.</w:t>
      </w:r>
    </w:p>
    <w:p w14:paraId="26DC3969" w14:textId="5B257FB6" w:rsidR="00C04132" w:rsidRDefault="00C04132" w:rsidP="00C04132">
      <w:r>
        <w:t>Programmes should not be able to run automatically on computers and devices and should require administrator permissions.</w:t>
      </w:r>
    </w:p>
    <w:p w14:paraId="511B2974" w14:textId="4C2CE737" w:rsidR="00C04132" w:rsidRDefault="00C04132" w:rsidP="00C04132">
      <w:r>
        <w:t>Anti-malware programmes must run on all computers or devices that connect to the internet.</w:t>
      </w:r>
    </w:p>
    <w:p w14:paraId="454E65EF" w14:textId="60905799" w:rsidR="00C04132" w:rsidRDefault="00C04132" w:rsidP="00C04132">
      <w:r>
        <w:t>User accounts that are not needed must be removed from all computers and devices.</w:t>
      </w:r>
    </w:p>
    <w:p w14:paraId="58BE967E" w14:textId="15F33EC2" w:rsidR="00C04132" w:rsidRDefault="00C04132" w:rsidP="00C04132">
      <w:r>
        <w:t>Anti-virus software must be updated as updates become available</w:t>
      </w:r>
    </w:p>
    <w:p w14:paraId="7989B9CA" w14:textId="7A5DAC63" w:rsidR="00C04132" w:rsidRPr="00C04132" w:rsidRDefault="00C04132" w:rsidP="00C04132">
      <w:r>
        <w:t>All versions of software must be the latest version and supported by the manufacturer</w:t>
      </w:r>
    </w:p>
    <w:p w14:paraId="04A042F9" w14:textId="5E0EE14E" w:rsidR="00C04132" w:rsidRDefault="00C04132" w:rsidP="002B2FE8">
      <w:r>
        <w:t>When new software versions are made available by the manufacturer, they must be installed</w:t>
      </w:r>
      <w:r w:rsidR="002B2FE8">
        <w:t xml:space="preserve"> </w:t>
      </w:r>
      <w:r>
        <w:t>soon after</w:t>
      </w:r>
      <w:r w:rsidR="002B2FE8">
        <w:t xml:space="preserve"> </w:t>
      </w:r>
      <w:r>
        <w:t>they become available</w:t>
      </w:r>
    </w:p>
    <w:p w14:paraId="54A12091" w14:textId="1DBA960E" w:rsidR="00C04132" w:rsidRPr="002B2FE8" w:rsidRDefault="002B2FE8" w:rsidP="002B2FE8">
      <w:r w:rsidRPr="002B2FE8">
        <w:t>R</w:t>
      </w:r>
      <w:r w:rsidR="00C04132" w:rsidRPr="002B2FE8">
        <w:t>esponsibility should be assigned for the management of the network as a critical asset for the organisation</w:t>
      </w:r>
    </w:p>
    <w:p w14:paraId="6048F7EF" w14:textId="26284DC7" w:rsidR="00C04132" w:rsidRDefault="002B2FE8" w:rsidP="002B2FE8">
      <w:r>
        <w:t>S</w:t>
      </w:r>
      <w:r w:rsidR="00C04132">
        <w:t>ecure remote access must be in place to allow access to the network for remote workers</w:t>
      </w:r>
    </w:p>
    <w:p w14:paraId="77362B19" w14:textId="381A2F5E" w:rsidR="00C04132" w:rsidRDefault="00C04132" w:rsidP="002B2FE8">
      <w:r>
        <w:t>Appropriate encryption techniques should be employed for data at rest and in transit</w:t>
      </w:r>
    </w:p>
    <w:p w14:paraId="151E4FE1" w14:textId="628F313C" w:rsidR="00C04132" w:rsidRPr="002B2FE8" w:rsidRDefault="00C04132" w:rsidP="002B2FE8">
      <w:pPr>
        <w:pStyle w:val="Heading1"/>
        <w:rPr>
          <w:rFonts w:ascii="Calibri" w:hAnsi="Calibri" w:cs="Calibri"/>
          <w:szCs w:val="24"/>
        </w:rPr>
      </w:pPr>
      <w:bookmarkStart w:id="19" w:name="_Toc494120472"/>
      <w:bookmarkStart w:id="20" w:name="_Toc66882537"/>
      <w:r w:rsidRPr="002B2FE8">
        <w:t>Procedural Controls</w:t>
      </w:r>
      <w:bookmarkEnd w:id="19"/>
      <w:bookmarkEnd w:id="20"/>
    </w:p>
    <w:p w14:paraId="46EB3A9D" w14:textId="402111CA" w:rsidR="00C04132" w:rsidRDefault="00C04132" w:rsidP="002B2FE8">
      <w:pPr>
        <w:rPr>
          <w:sz w:val="24"/>
          <w:szCs w:val="24"/>
        </w:rPr>
      </w:pPr>
      <w:r>
        <w:t xml:space="preserve">Information Security protocols and procedures will be issued to all </w:t>
      </w:r>
      <w:r w:rsidR="00B5607D">
        <w:rPr>
          <w:b/>
        </w:rPr>
        <w:t>Practice</w:t>
      </w:r>
      <w:r w:rsidR="002B2FE8">
        <w:t xml:space="preserve"> </w:t>
      </w:r>
      <w:r>
        <w:t>staff</w:t>
      </w:r>
    </w:p>
    <w:p w14:paraId="79EEF385" w14:textId="413B325E" w:rsidR="00C04132" w:rsidRDefault="00C04132" w:rsidP="002B2FE8">
      <w:r>
        <w:t xml:space="preserve">Staff must undertake regular data security training and comprehension should be assessed and reported into the </w:t>
      </w:r>
      <w:r w:rsidR="00045F8D">
        <w:t xml:space="preserve">appropriate governance group within </w:t>
      </w:r>
      <w:r w:rsidR="00B5607D">
        <w:rPr>
          <w:b/>
        </w:rPr>
        <w:t>The Practice</w:t>
      </w:r>
      <w:r>
        <w:t>.</w:t>
      </w:r>
    </w:p>
    <w:p w14:paraId="4C63DF59" w14:textId="6850ABE4" w:rsidR="00C04132" w:rsidRDefault="00C04132" w:rsidP="002B2FE8">
      <w:r>
        <w:lastRenderedPageBreak/>
        <w:t>Access to physical buildings should be appropriately restricted and monitored to prevent unauthorised access</w:t>
      </w:r>
    </w:p>
    <w:p w14:paraId="5B10F33A" w14:textId="013356E3" w:rsidR="002B2FE8" w:rsidRDefault="002B2FE8" w:rsidP="002B2FE8">
      <w:r>
        <w:t>Where provided, staff must wear identity badges at all times</w:t>
      </w:r>
    </w:p>
    <w:p w14:paraId="2998FFE8" w14:textId="4F8F5971" w:rsidR="002B2FE8" w:rsidRDefault="002B2FE8" w:rsidP="002B2FE8">
      <w:r>
        <w:t>Staff must be careful when clicking on links or responding to unusual emails</w:t>
      </w:r>
    </w:p>
    <w:p w14:paraId="49672BFA" w14:textId="3F70A798" w:rsidR="002B2FE8" w:rsidRDefault="002B2FE8" w:rsidP="002B2FE8">
      <w:r>
        <w:t xml:space="preserve">Staff must not use </w:t>
      </w:r>
      <w:r w:rsidR="00B5607D">
        <w:rPr>
          <w:b/>
        </w:rPr>
        <w:t>The Practice</w:t>
      </w:r>
      <w:r>
        <w:t xml:space="preserve"> </w:t>
      </w:r>
      <w:r w:rsidR="007640C0">
        <w:t xml:space="preserve">equipment </w:t>
      </w:r>
      <w:r>
        <w:t>for accessing sites unrelated to their work activities unless provided expressly permitted</w:t>
      </w:r>
      <w:r w:rsidR="005F0611">
        <w:t>.</w:t>
      </w:r>
    </w:p>
    <w:p w14:paraId="2E942C77" w14:textId="337C8E17" w:rsidR="00213805" w:rsidRPr="00CB323E" w:rsidRDefault="00213805" w:rsidP="00C04132">
      <w:pPr>
        <w:pStyle w:val="Heading1"/>
      </w:pPr>
      <w:bookmarkStart w:id="21" w:name="_Toc66882538"/>
      <w:r w:rsidRPr="00CB323E">
        <w:t>Information Incidents</w:t>
      </w:r>
      <w:bookmarkEnd w:id="11"/>
      <w:bookmarkEnd w:id="21"/>
    </w:p>
    <w:p w14:paraId="2EC48872" w14:textId="6E7A2778" w:rsidR="00CE07F3" w:rsidRPr="00CB323E" w:rsidRDefault="00213805" w:rsidP="00CB323E">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14:paraId="4B17320F" w14:textId="38D1C7B8" w:rsidR="00B94E5A" w:rsidRDefault="00B94E5A" w:rsidP="00CB323E">
      <w:pPr>
        <w:pStyle w:val="Heading1"/>
      </w:pPr>
      <w:bookmarkStart w:id="22" w:name="_Toc66882539"/>
      <w:r>
        <w:t>Associated Protocols</w:t>
      </w:r>
      <w:bookmarkEnd w:id="22"/>
    </w:p>
    <w:p w14:paraId="62E7ABFE" w14:textId="69B418EA" w:rsidR="00AF1E4C" w:rsidRDefault="00AF1E4C" w:rsidP="00AF1E4C">
      <w:r>
        <w:t>This policy should be read in conjunction with;</w:t>
      </w:r>
    </w:p>
    <w:p w14:paraId="57BF03AE" w14:textId="77777777" w:rsidR="00247694" w:rsidRDefault="00247694" w:rsidP="00247694">
      <w:pPr>
        <w:pStyle w:val="ListParagraph"/>
        <w:numPr>
          <w:ilvl w:val="0"/>
          <w:numId w:val="2"/>
        </w:numPr>
      </w:pPr>
      <w:r>
        <w:t>Information Governance Policy</w:t>
      </w:r>
    </w:p>
    <w:p w14:paraId="55FD0DDD" w14:textId="77777777" w:rsidR="00247694" w:rsidRDefault="00247694" w:rsidP="00247694">
      <w:pPr>
        <w:pStyle w:val="ListParagraph"/>
        <w:numPr>
          <w:ilvl w:val="0"/>
          <w:numId w:val="2"/>
        </w:numPr>
      </w:pPr>
      <w:r>
        <w:t>Information Rights and Access Protocol</w:t>
      </w:r>
    </w:p>
    <w:p w14:paraId="6809C773" w14:textId="77777777" w:rsidR="00247694" w:rsidRDefault="00247694" w:rsidP="00247694">
      <w:pPr>
        <w:pStyle w:val="ListParagraph"/>
        <w:numPr>
          <w:ilvl w:val="0"/>
          <w:numId w:val="2"/>
        </w:numPr>
      </w:pPr>
      <w:r>
        <w:t>Information Sharing and Privacy Protocol</w:t>
      </w:r>
    </w:p>
    <w:p w14:paraId="5A3583C2" w14:textId="77777777" w:rsidR="00247694" w:rsidRDefault="00247694" w:rsidP="00247694">
      <w:pPr>
        <w:pStyle w:val="ListParagraph"/>
        <w:numPr>
          <w:ilvl w:val="0"/>
          <w:numId w:val="2"/>
        </w:numPr>
      </w:pPr>
      <w:r>
        <w:t>Information Lifecycle and Data Quality Protocol</w:t>
      </w:r>
    </w:p>
    <w:p w14:paraId="44F40DA6" w14:textId="77777777" w:rsidR="00247694" w:rsidRDefault="00247694" w:rsidP="00247694">
      <w:pPr>
        <w:pStyle w:val="ListParagraph"/>
        <w:numPr>
          <w:ilvl w:val="0"/>
          <w:numId w:val="2"/>
        </w:numPr>
      </w:pPr>
      <w:r>
        <w:t>Information Incident Protocol</w:t>
      </w:r>
    </w:p>
    <w:p w14:paraId="61BC7DC8" w14:textId="77777777" w:rsidR="00247694" w:rsidRDefault="00247694" w:rsidP="00247694">
      <w:pPr>
        <w:pStyle w:val="ListParagraph"/>
        <w:numPr>
          <w:ilvl w:val="0"/>
          <w:numId w:val="2"/>
        </w:numPr>
      </w:pPr>
      <w:r>
        <w:t>Information Risk and Audit Protocol</w:t>
      </w:r>
    </w:p>
    <w:p w14:paraId="173251C0" w14:textId="77777777" w:rsidR="00247694" w:rsidRDefault="00247694" w:rsidP="00247694">
      <w:pPr>
        <w:pStyle w:val="ListParagraph"/>
        <w:numPr>
          <w:ilvl w:val="0"/>
          <w:numId w:val="2"/>
        </w:numPr>
      </w:pPr>
      <w:r>
        <w:t>Data Protection Impact Assessment Protocol</w:t>
      </w:r>
    </w:p>
    <w:p w14:paraId="00770267" w14:textId="77777777" w:rsidR="00247694" w:rsidRDefault="00247694" w:rsidP="00247694">
      <w:pPr>
        <w:pStyle w:val="ListParagraph"/>
        <w:numPr>
          <w:ilvl w:val="0"/>
          <w:numId w:val="2"/>
        </w:numPr>
      </w:pPr>
      <w:r>
        <w:t>Freedom of Information Protocol</w:t>
      </w:r>
    </w:p>
    <w:p w14:paraId="0F8449E7" w14:textId="77777777" w:rsidR="00B94E5A" w:rsidRDefault="00B94E5A" w:rsidP="00BD737C">
      <w:pPr>
        <w:pStyle w:val="Heading1"/>
      </w:pPr>
      <w:bookmarkStart w:id="23" w:name="_Toc66882540"/>
      <w:r>
        <w:t>Review</w:t>
      </w:r>
      <w:bookmarkEnd w:id="23"/>
    </w:p>
    <w:p w14:paraId="37B24FDE" w14:textId="77777777" w:rsidR="00A55A7F" w:rsidRDefault="00AD06AB" w:rsidP="00A55A7F">
      <w:r>
        <w:t xml:space="preserve">This </w:t>
      </w:r>
      <w:r w:rsidR="00610A56">
        <w:t>protocol</w:t>
      </w:r>
      <w:r>
        <w:t xml:space="preserve"> will be reviewed every year</w:t>
      </w:r>
      <w:r w:rsidR="00610A56">
        <w:t xml:space="preserve"> </w:t>
      </w:r>
      <w:r>
        <w:t>or sooner where necessary</w:t>
      </w:r>
    </w:p>
    <w:p w14:paraId="1FD905ED" w14:textId="77777777" w:rsidR="00A55A7F" w:rsidRDefault="00A55A7F" w:rsidP="00A55A7F"/>
    <w:p w14:paraId="1B39C64E" w14:textId="77777777" w:rsidR="00A55A7F" w:rsidRDefault="00A55A7F" w:rsidP="00A55A7F"/>
    <w:p w14:paraId="7A0401B2" w14:textId="43085953" w:rsidR="00380847" w:rsidRDefault="00380847" w:rsidP="0090644F">
      <w:pPr>
        <w:pStyle w:val="ListParagraph"/>
      </w:pPr>
    </w:p>
    <w:p w14:paraId="3257A403" w14:textId="673BDF47" w:rsidR="00F74D90" w:rsidRDefault="00F74D90" w:rsidP="00F74D90"/>
    <w:p w14:paraId="424A203C" w14:textId="77777777" w:rsidR="00F74D90" w:rsidRDefault="00F74D90" w:rsidP="00F74D90">
      <w:pPr>
        <w:sectPr w:rsidR="00F74D90" w:rsidSect="00A55A7F">
          <w:headerReference w:type="default" r:id="rId8"/>
          <w:pgSz w:w="11906" w:h="16838"/>
          <w:pgMar w:top="1440" w:right="1440" w:bottom="1440" w:left="1440" w:header="709" w:footer="709" w:gutter="0"/>
          <w:cols w:space="708"/>
          <w:docGrid w:linePitch="360"/>
        </w:sectPr>
      </w:pPr>
    </w:p>
    <w:p w14:paraId="6E3AA349" w14:textId="63B62DD8" w:rsidR="00F74D90" w:rsidRDefault="004003B1" w:rsidP="004003B1">
      <w:pPr>
        <w:pStyle w:val="Heading1"/>
        <w:numPr>
          <w:ilvl w:val="0"/>
          <w:numId w:val="0"/>
        </w:numPr>
      </w:pPr>
      <w:bookmarkStart w:id="24" w:name="_Toc66882541"/>
      <w:r>
        <w:lastRenderedPageBreak/>
        <w:t xml:space="preserve">Appendix </w:t>
      </w:r>
      <w:r w:rsidR="00450407">
        <w:t>A</w:t>
      </w:r>
      <w:r>
        <w:t xml:space="preserve"> User Authorisation Process</w:t>
      </w:r>
      <w:bookmarkEnd w:id="24"/>
    </w:p>
    <w:p w14:paraId="34B04FE5" w14:textId="77777777" w:rsidR="004003B1" w:rsidRPr="004003B1" w:rsidRDefault="004003B1" w:rsidP="004003B1">
      <w:pPr>
        <w:rPr>
          <w:b/>
        </w:rPr>
      </w:pPr>
      <w:r w:rsidRPr="004003B1">
        <w:rPr>
          <w:b/>
        </w:rPr>
        <w:t>New Starter Authorisation Process</w:t>
      </w:r>
    </w:p>
    <w:p w14:paraId="75312C21" w14:textId="6F6D1274" w:rsidR="004003B1" w:rsidRPr="001F6A49" w:rsidRDefault="004003B1" w:rsidP="004003B1">
      <w:pPr>
        <w:pStyle w:val="ListParagraph"/>
        <w:numPr>
          <w:ilvl w:val="0"/>
          <w:numId w:val="32"/>
        </w:numPr>
      </w:pPr>
      <w:r w:rsidRPr="001F6A49">
        <w:t xml:space="preserve">New Starter form completed by line manager and sent to </w:t>
      </w:r>
      <w:r w:rsidR="0090644F">
        <w:rPr>
          <w:b/>
        </w:rPr>
        <w:t>[insert]</w:t>
      </w:r>
      <w:r w:rsidR="00045F8D" w:rsidDel="00045F8D">
        <w:t xml:space="preserve"> </w:t>
      </w:r>
    </w:p>
    <w:p w14:paraId="7A76D29D" w14:textId="09016752" w:rsidR="004003B1" w:rsidRPr="001F6A49" w:rsidRDefault="004003B1" w:rsidP="004003B1">
      <w:pPr>
        <w:pStyle w:val="ListParagraph"/>
        <w:numPr>
          <w:ilvl w:val="0"/>
          <w:numId w:val="32"/>
        </w:numPr>
      </w:pPr>
      <w:r w:rsidRPr="001F6A49">
        <w:t xml:space="preserve">Logins are created for </w:t>
      </w:r>
      <w:r w:rsidR="00B5607D">
        <w:rPr>
          <w:b/>
        </w:rPr>
        <w:t>The Practice</w:t>
      </w:r>
      <w:r w:rsidR="0052455E">
        <w:t>’s</w:t>
      </w:r>
      <w:r w:rsidRPr="001F6A49">
        <w:t xml:space="preserve"> shared drive and any other key systems</w:t>
      </w:r>
    </w:p>
    <w:p w14:paraId="71696686" w14:textId="77777777" w:rsidR="004003B1" w:rsidRPr="001F6A49" w:rsidRDefault="004003B1" w:rsidP="004003B1">
      <w:pPr>
        <w:pStyle w:val="ListParagraph"/>
        <w:numPr>
          <w:ilvl w:val="0"/>
          <w:numId w:val="32"/>
        </w:numPr>
      </w:pPr>
      <w:r w:rsidRPr="001F6A49">
        <w:t>‘one-time use’ password is provided verbally</w:t>
      </w:r>
    </w:p>
    <w:p w14:paraId="738F29B3" w14:textId="77777777" w:rsidR="004003B1" w:rsidRPr="001F6A49" w:rsidRDefault="004003B1" w:rsidP="004003B1">
      <w:pPr>
        <w:pStyle w:val="ListParagraph"/>
        <w:numPr>
          <w:ilvl w:val="0"/>
          <w:numId w:val="32"/>
        </w:numPr>
      </w:pPr>
      <w:r w:rsidRPr="001F6A49">
        <w:t>Employee resets password as part of initial log in</w:t>
      </w:r>
    </w:p>
    <w:p w14:paraId="61A32E2F" w14:textId="36B42D70" w:rsidR="004003B1" w:rsidRPr="004003B1" w:rsidRDefault="004003B1" w:rsidP="004003B1">
      <w:pPr>
        <w:rPr>
          <w:b/>
        </w:rPr>
      </w:pPr>
      <w:r w:rsidRPr="004003B1">
        <w:rPr>
          <w:b/>
        </w:rPr>
        <w:t>Password Reset Process</w:t>
      </w:r>
    </w:p>
    <w:p w14:paraId="5C845014" w14:textId="55C8C486" w:rsidR="004003B1" w:rsidRPr="004003B1" w:rsidRDefault="004003B1" w:rsidP="004003B1">
      <w:pPr>
        <w:pStyle w:val="ListParagraph"/>
        <w:numPr>
          <w:ilvl w:val="0"/>
          <w:numId w:val="33"/>
        </w:numPr>
      </w:pPr>
      <w:r w:rsidRPr="00C37CFA">
        <w:rPr>
          <w:rFonts w:asciiTheme="minorHAnsi" w:hAnsiTheme="minorHAnsi" w:cstheme="minorHAnsi"/>
        </w:rPr>
        <w:t>Em</w:t>
      </w:r>
      <w:r w:rsidRPr="004003B1">
        <w:t xml:space="preserve">ployee calls </w:t>
      </w:r>
      <w:r w:rsidR="0090644F" w:rsidRPr="0090644F">
        <w:rPr>
          <w:b/>
          <w:bCs/>
        </w:rPr>
        <w:t>[insert]</w:t>
      </w:r>
      <w:r w:rsidRPr="0090644F">
        <w:rPr>
          <w:b/>
          <w:bCs/>
        </w:rPr>
        <w:t xml:space="preserve"> </w:t>
      </w:r>
    </w:p>
    <w:p w14:paraId="5B00FFA8" w14:textId="77777777" w:rsidR="004003B1" w:rsidRPr="004003B1" w:rsidRDefault="004003B1" w:rsidP="004003B1">
      <w:pPr>
        <w:pStyle w:val="ListParagraph"/>
        <w:numPr>
          <w:ilvl w:val="0"/>
          <w:numId w:val="33"/>
        </w:numPr>
      </w:pPr>
      <w:r w:rsidRPr="004003B1">
        <w:t xml:space="preserve">Identity is verified via security questions </w:t>
      </w:r>
    </w:p>
    <w:p w14:paraId="505CBB8D" w14:textId="77777777" w:rsidR="004003B1" w:rsidRPr="004003B1" w:rsidRDefault="004003B1" w:rsidP="004003B1">
      <w:pPr>
        <w:pStyle w:val="ListParagraph"/>
        <w:numPr>
          <w:ilvl w:val="0"/>
          <w:numId w:val="33"/>
        </w:numPr>
      </w:pPr>
      <w:r w:rsidRPr="004003B1">
        <w:t>Password reset to ‘one-time use’ password which is provided verbally</w:t>
      </w:r>
    </w:p>
    <w:p w14:paraId="1094032A" w14:textId="77777777" w:rsidR="004003B1" w:rsidRPr="004003B1" w:rsidRDefault="004003B1" w:rsidP="004003B1">
      <w:pPr>
        <w:pStyle w:val="ListParagraph"/>
        <w:numPr>
          <w:ilvl w:val="0"/>
          <w:numId w:val="33"/>
        </w:numPr>
      </w:pPr>
      <w:r w:rsidRPr="004003B1">
        <w:t>Employee resets password as part of initial log in</w:t>
      </w:r>
    </w:p>
    <w:p w14:paraId="4DD9B4CF" w14:textId="1EB3344E" w:rsidR="004003B1" w:rsidRPr="005E3623" w:rsidRDefault="004003B1" w:rsidP="005E3623">
      <w:pPr>
        <w:rPr>
          <w:b/>
        </w:rPr>
      </w:pPr>
      <w:r w:rsidRPr="005E3623">
        <w:rPr>
          <w:b/>
        </w:rPr>
        <w:t>Staff Leaver De-authorisation Process</w:t>
      </w:r>
    </w:p>
    <w:p w14:paraId="22BCAA60" w14:textId="79AFABE0" w:rsidR="004003B1" w:rsidRPr="00C37CFA" w:rsidRDefault="004003B1" w:rsidP="005E3623">
      <w:pPr>
        <w:pStyle w:val="ListParagraph"/>
        <w:numPr>
          <w:ilvl w:val="0"/>
          <w:numId w:val="34"/>
        </w:numPr>
      </w:pPr>
      <w:r w:rsidRPr="00C37CFA">
        <w:t xml:space="preserve">Line manager logs a support request by email to </w:t>
      </w:r>
      <w:r w:rsidR="0090644F" w:rsidRPr="0090644F">
        <w:rPr>
          <w:b/>
          <w:bCs/>
        </w:rPr>
        <w:t>[insert]</w:t>
      </w:r>
      <w:r w:rsidR="00045F8D" w:rsidRPr="0090644F">
        <w:rPr>
          <w:b/>
          <w:bCs/>
        </w:rPr>
        <w:t xml:space="preserve"> </w:t>
      </w:r>
      <w:r w:rsidRPr="00C37CFA">
        <w:t>providing exit date of staff member</w:t>
      </w:r>
    </w:p>
    <w:p w14:paraId="3AE0F37A" w14:textId="77777777" w:rsidR="004003B1" w:rsidRPr="00C37CFA" w:rsidRDefault="004003B1" w:rsidP="005E3623">
      <w:pPr>
        <w:pStyle w:val="ListParagraph"/>
        <w:numPr>
          <w:ilvl w:val="0"/>
          <w:numId w:val="34"/>
        </w:numPr>
      </w:pPr>
      <w:r w:rsidRPr="00C37CFA">
        <w:t xml:space="preserve">Logins are deactivated effective exit date </w:t>
      </w:r>
    </w:p>
    <w:p w14:paraId="62E9578D" w14:textId="77777777" w:rsidR="004003B1" w:rsidRPr="00C37CFA" w:rsidRDefault="004003B1" w:rsidP="005E3623">
      <w:pPr>
        <w:pStyle w:val="ListParagraph"/>
        <w:numPr>
          <w:ilvl w:val="0"/>
          <w:numId w:val="34"/>
        </w:numPr>
      </w:pPr>
      <w:r w:rsidRPr="00C37CFA">
        <w:t>Folder access permissions are removed automatically</w:t>
      </w:r>
    </w:p>
    <w:p w14:paraId="5DC6A6B8" w14:textId="7A482412" w:rsidR="004003B1" w:rsidRPr="00F74D90" w:rsidRDefault="004003B1" w:rsidP="00F74D90"/>
    <w:sectPr w:rsidR="004003B1" w:rsidRPr="00F74D90" w:rsidSect="00F74D9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3EB1E" w14:textId="77777777" w:rsidR="00601BF9" w:rsidRDefault="00601BF9" w:rsidP="00B94E5A">
      <w:pPr>
        <w:spacing w:after="0" w:line="240" w:lineRule="auto"/>
      </w:pPr>
      <w:r>
        <w:separator/>
      </w:r>
    </w:p>
  </w:endnote>
  <w:endnote w:type="continuationSeparator" w:id="0">
    <w:p w14:paraId="345DDE72" w14:textId="77777777" w:rsidR="00601BF9" w:rsidRDefault="00601BF9"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1D346" w14:textId="77777777" w:rsidR="00601BF9" w:rsidRDefault="00601BF9" w:rsidP="00B94E5A">
      <w:pPr>
        <w:spacing w:after="0" w:line="240" w:lineRule="auto"/>
      </w:pPr>
      <w:r>
        <w:separator/>
      </w:r>
    </w:p>
  </w:footnote>
  <w:footnote w:type="continuationSeparator" w:id="0">
    <w:p w14:paraId="1B6E230C" w14:textId="77777777" w:rsidR="00601BF9" w:rsidRDefault="00601BF9" w:rsidP="00B94E5A">
      <w:pPr>
        <w:spacing w:after="0" w:line="240" w:lineRule="auto"/>
      </w:pPr>
      <w:r>
        <w:continuationSeparator/>
      </w:r>
    </w:p>
  </w:footnote>
  <w:footnote w:id="1">
    <w:p w14:paraId="544FF958" w14:textId="77777777" w:rsidR="00C04132" w:rsidRDefault="00C04132" w:rsidP="00C04132">
      <w:pPr>
        <w:pStyle w:val="FootnoteText"/>
        <w:rPr>
          <w:rFonts w:asciiTheme="minorHAnsi" w:hAnsiTheme="minorHAnsi" w:cstheme="minorBidi"/>
        </w:rPr>
      </w:pPr>
      <w:r>
        <w:rPr>
          <w:rStyle w:val="FootnoteReference"/>
          <w:rFonts w:eastAsiaTheme="majorEastAsia"/>
        </w:rPr>
        <w:footnoteRef/>
      </w:r>
      <w:r>
        <w:t xml:space="preserve"> Information Security Management Principles 2</w:t>
      </w:r>
      <w:r>
        <w:rPr>
          <w:vertAlign w:val="superscript"/>
        </w:rPr>
        <w:t>nd</w:t>
      </w:r>
      <w:r>
        <w:t xml:space="preserve"> 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0667D" w14:textId="6273B224" w:rsidR="00F622F5" w:rsidRPr="00BA2D92" w:rsidRDefault="00DF31A4" w:rsidP="00F622F5">
    <w:pPr>
      <w:pStyle w:val="Header"/>
      <w:jc w:val="center"/>
      <w:rPr>
        <w:sz w:val="60"/>
        <w:szCs w:val="60"/>
      </w:rPr>
    </w:pPr>
    <w:r>
      <w:rPr>
        <w:noProof/>
        <w:sz w:val="60"/>
        <w:szCs w:val="60"/>
      </w:rPr>
      <w:t xml:space="preserve">Norfolk </w:t>
    </w:r>
    <w:r w:rsidR="00B5607D">
      <w:rPr>
        <w:noProof/>
        <w:sz w:val="60"/>
        <w:szCs w:val="60"/>
      </w:rPr>
      <w:t>GP Practice DPO</w:t>
    </w:r>
    <w:r>
      <w:rPr>
        <w:noProof/>
        <w:sz w:val="60"/>
        <w:szCs w:val="60"/>
      </w:rPr>
      <w:t xml:space="preserve"> Cluster </w:t>
    </w:r>
  </w:p>
  <w:p w14:paraId="3E32844B" w14:textId="4B0A643D" w:rsidR="00821E33" w:rsidRDefault="00F622F5">
    <w:pPr>
      <w:pStyle w:val="Header"/>
    </w:pPr>
    <w:r w:rsidRPr="006316B6" w:rsidDel="00F622F5">
      <w:rPr>
        <w:noProof/>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A38A5"/>
    <w:multiLevelType w:val="hybridMultilevel"/>
    <w:tmpl w:val="AE881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E1F218F"/>
    <w:multiLevelType w:val="hybridMultilevel"/>
    <w:tmpl w:val="36386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D2761"/>
    <w:multiLevelType w:val="hybridMultilevel"/>
    <w:tmpl w:val="D8780A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B4B17"/>
    <w:multiLevelType w:val="hybridMultilevel"/>
    <w:tmpl w:val="D5908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50582"/>
    <w:multiLevelType w:val="hybridMultilevel"/>
    <w:tmpl w:val="08BA25AC"/>
    <w:lvl w:ilvl="0" w:tplc="95AC901E">
      <w:start w:val="1"/>
      <w:numFmt w:val="decimal"/>
      <w:pStyle w:val="Heading1"/>
      <w:lvlText w:val="%1."/>
      <w:lvlJc w:val="left"/>
      <w:pPr>
        <w:ind w:left="305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D44F4D"/>
    <w:multiLevelType w:val="hybridMultilevel"/>
    <w:tmpl w:val="509C058A"/>
    <w:lvl w:ilvl="0" w:tplc="6B96F6DA">
      <w:start w:val="1"/>
      <w:numFmt w:val="decimal"/>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50A9CF8">
      <w:start w:val="1"/>
      <w:numFmt w:val="decimal"/>
      <w:lvlText w:val="%1.%2"/>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57BC40B2">
      <w:start w:val="1"/>
      <w:numFmt w:val="decimal"/>
      <w:pStyle w:val="Heading3"/>
      <w:lvlText w:val="%1.%2.%3"/>
      <w:lvlJc w:val="left"/>
      <w:pPr>
        <w:ind w:left="864" w:hanging="864"/>
      </w:pPr>
      <w:rPr>
        <w:rFonts w:hint="default"/>
      </w:rPr>
    </w:lvl>
    <w:lvl w:ilvl="3" w:tplc="4EE40EE4">
      <w:start w:val="1"/>
      <w:numFmt w:val="decimal"/>
      <w:pStyle w:val="Heading4"/>
      <w:lvlText w:val="%1.%2.%3.%4"/>
      <w:lvlJc w:val="left"/>
      <w:pPr>
        <w:ind w:left="1008" w:hanging="1008"/>
      </w:pPr>
      <w:rPr>
        <w:rFonts w:hint="default"/>
      </w:rPr>
    </w:lvl>
    <w:lvl w:ilvl="4" w:tplc="7DA4A442">
      <w:start w:val="1"/>
      <w:numFmt w:val="decimal"/>
      <w:pStyle w:val="Heading5"/>
      <w:lvlText w:val="%1.%2.%3.%4.%5"/>
      <w:lvlJc w:val="left"/>
      <w:pPr>
        <w:ind w:left="1152" w:hanging="1152"/>
      </w:pPr>
      <w:rPr>
        <w:rFonts w:hint="default"/>
      </w:rPr>
    </w:lvl>
    <w:lvl w:ilvl="5" w:tplc="FED82948">
      <w:start w:val="1"/>
      <w:numFmt w:val="decimal"/>
      <w:pStyle w:val="Heading6"/>
      <w:lvlText w:val="%1.%2.%3.%4.%5.%6"/>
      <w:lvlJc w:val="left"/>
      <w:pPr>
        <w:ind w:left="1296" w:hanging="1296"/>
      </w:pPr>
      <w:rPr>
        <w:rFonts w:hint="default"/>
      </w:rPr>
    </w:lvl>
    <w:lvl w:ilvl="6" w:tplc="2896479C">
      <w:start w:val="1"/>
      <w:numFmt w:val="decimal"/>
      <w:pStyle w:val="Heading7"/>
      <w:lvlText w:val="%1.%2.%3.%4.%5.%6.%7"/>
      <w:lvlJc w:val="left"/>
      <w:pPr>
        <w:ind w:left="1440" w:hanging="1440"/>
      </w:pPr>
      <w:rPr>
        <w:rFonts w:hint="default"/>
      </w:rPr>
    </w:lvl>
    <w:lvl w:ilvl="7" w:tplc="93709FE8">
      <w:start w:val="1"/>
      <w:numFmt w:val="decimal"/>
      <w:pStyle w:val="Heading8"/>
      <w:lvlText w:val="%1.%2.%3.%4.%5.%6.%7.%8"/>
      <w:lvlJc w:val="left"/>
      <w:pPr>
        <w:ind w:left="1584" w:hanging="1584"/>
      </w:pPr>
      <w:rPr>
        <w:rFonts w:hint="default"/>
      </w:rPr>
    </w:lvl>
    <w:lvl w:ilvl="8" w:tplc="02ACF01E">
      <w:start w:val="1"/>
      <w:numFmt w:val="decimal"/>
      <w:pStyle w:val="Heading9"/>
      <w:lvlText w:val="%1.%2.%3.%4.%5.%6.%7.%8.%9"/>
      <w:lvlJc w:val="left"/>
      <w:pPr>
        <w:ind w:left="1728" w:hanging="1728"/>
      </w:pPr>
      <w:rPr>
        <w:rFonts w:hint="default"/>
      </w:rPr>
    </w:lvl>
  </w:abstractNum>
  <w:abstractNum w:abstractNumId="18"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9" w15:restartNumberingAfterBreak="0">
    <w:nsid w:val="4D1B40CE"/>
    <w:multiLevelType w:val="hybridMultilevel"/>
    <w:tmpl w:val="3DD6A1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407098"/>
    <w:multiLevelType w:val="hybridMultilevel"/>
    <w:tmpl w:val="37D07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7B14EB"/>
    <w:multiLevelType w:val="hybridMultilevel"/>
    <w:tmpl w:val="3B12A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9B2C25"/>
    <w:multiLevelType w:val="hybridMultilevel"/>
    <w:tmpl w:val="7206BB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6"/>
  </w:num>
  <w:num w:numId="4">
    <w:abstractNumId w:val="2"/>
  </w:num>
  <w:num w:numId="5">
    <w:abstractNumId w:val="14"/>
  </w:num>
  <w:num w:numId="6">
    <w:abstractNumId w:val="1"/>
  </w:num>
  <w:num w:numId="7">
    <w:abstractNumId w:val="20"/>
  </w:num>
  <w:num w:numId="8">
    <w:abstractNumId w:val="16"/>
  </w:num>
  <w:num w:numId="9">
    <w:abstractNumId w:val="18"/>
  </w:num>
  <w:num w:numId="10">
    <w:abstractNumId w:val="0"/>
  </w:num>
  <w:num w:numId="11">
    <w:abstractNumId w:val="5"/>
  </w:num>
  <w:num w:numId="12">
    <w:abstractNumId w:val="25"/>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9"/>
  </w:num>
  <w:num w:numId="22">
    <w:abstractNumId w:val="13"/>
  </w:num>
  <w:num w:numId="23">
    <w:abstractNumId w:val="13"/>
  </w:num>
  <w:num w:numId="24">
    <w:abstractNumId w:val="13"/>
  </w:num>
  <w:num w:numId="25">
    <w:abstractNumId w:val="7"/>
  </w:num>
  <w:num w:numId="26">
    <w:abstractNumId w:val="1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7"/>
  </w:num>
  <w:num w:numId="30">
    <w:abstractNumId w:val="15"/>
  </w:num>
  <w:num w:numId="31">
    <w:abstractNumId w:val="26"/>
  </w:num>
  <w:num w:numId="32">
    <w:abstractNumId w:val="28"/>
  </w:num>
  <w:num w:numId="33">
    <w:abstractNumId w:val="4"/>
  </w:num>
  <w:num w:numId="34">
    <w:abstractNumId w:val="21"/>
  </w:num>
  <w:num w:numId="35">
    <w:abstractNumId w:val="11"/>
  </w:num>
  <w:num w:numId="36">
    <w:abstractNumId w:val="22"/>
  </w:num>
  <w:num w:numId="37">
    <w:abstractNumId w:val="10"/>
  </w:num>
  <w:num w:numId="38">
    <w:abstractNumId w:val="17"/>
  </w:num>
  <w:num w:numId="39">
    <w:abstractNumId w:val="12"/>
  </w:num>
  <w:num w:numId="40">
    <w:abstractNumId w:val="13"/>
  </w:num>
  <w:num w:numId="41">
    <w:abstractNumId w:val="23"/>
  </w:num>
  <w:num w:numId="42">
    <w:abstractNumId w:val="24"/>
  </w:num>
  <w:num w:numId="4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4FB3"/>
    <w:rsid w:val="000269C4"/>
    <w:rsid w:val="00045F8D"/>
    <w:rsid w:val="000712F6"/>
    <w:rsid w:val="00084782"/>
    <w:rsid w:val="000D76AA"/>
    <w:rsid w:val="000F1752"/>
    <w:rsid w:val="000F260E"/>
    <w:rsid w:val="000F4B31"/>
    <w:rsid w:val="000F4D76"/>
    <w:rsid w:val="0011199B"/>
    <w:rsid w:val="00117D13"/>
    <w:rsid w:val="00146967"/>
    <w:rsid w:val="00163DF8"/>
    <w:rsid w:val="00177EED"/>
    <w:rsid w:val="00185E3B"/>
    <w:rsid w:val="00185F34"/>
    <w:rsid w:val="001A2A82"/>
    <w:rsid w:val="00200D01"/>
    <w:rsid w:val="00211554"/>
    <w:rsid w:val="0021293A"/>
    <w:rsid w:val="00213805"/>
    <w:rsid w:val="00247694"/>
    <w:rsid w:val="00255B5A"/>
    <w:rsid w:val="002613AD"/>
    <w:rsid w:val="002677C7"/>
    <w:rsid w:val="002749D6"/>
    <w:rsid w:val="00286738"/>
    <w:rsid w:val="002B2FE8"/>
    <w:rsid w:val="002F0286"/>
    <w:rsid w:val="003112F3"/>
    <w:rsid w:val="00315C5E"/>
    <w:rsid w:val="00336052"/>
    <w:rsid w:val="00380847"/>
    <w:rsid w:val="00380F23"/>
    <w:rsid w:val="00387F8C"/>
    <w:rsid w:val="003C512D"/>
    <w:rsid w:val="003D2AA3"/>
    <w:rsid w:val="003D51CA"/>
    <w:rsid w:val="003D5CF6"/>
    <w:rsid w:val="003D5E68"/>
    <w:rsid w:val="003D610E"/>
    <w:rsid w:val="004003B1"/>
    <w:rsid w:val="00414AEC"/>
    <w:rsid w:val="00437286"/>
    <w:rsid w:val="004440CD"/>
    <w:rsid w:val="00450407"/>
    <w:rsid w:val="0045212C"/>
    <w:rsid w:val="00454080"/>
    <w:rsid w:val="004858EC"/>
    <w:rsid w:val="004B56EC"/>
    <w:rsid w:val="004B5A1F"/>
    <w:rsid w:val="004D0819"/>
    <w:rsid w:val="004F63EB"/>
    <w:rsid w:val="005003CC"/>
    <w:rsid w:val="00506A79"/>
    <w:rsid w:val="0052455E"/>
    <w:rsid w:val="005361DD"/>
    <w:rsid w:val="005417C8"/>
    <w:rsid w:val="0055459D"/>
    <w:rsid w:val="005C402E"/>
    <w:rsid w:val="005E3623"/>
    <w:rsid w:val="005F0611"/>
    <w:rsid w:val="00601BF9"/>
    <w:rsid w:val="00610A56"/>
    <w:rsid w:val="006316B6"/>
    <w:rsid w:val="0065435E"/>
    <w:rsid w:val="00682E4F"/>
    <w:rsid w:val="006C10D5"/>
    <w:rsid w:val="00735409"/>
    <w:rsid w:val="007566D3"/>
    <w:rsid w:val="007640C0"/>
    <w:rsid w:val="0077531D"/>
    <w:rsid w:val="00784793"/>
    <w:rsid w:val="007A7CED"/>
    <w:rsid w:val="007E0044"/>
    <w:rsid w:val="007F65EF"/>
    <w:rsid w:val="007F696F"/>
    <w:rsid w:val="00812449"/>
    <w:rsid w:val="00812754"/>
    <w:rsid w:val="008162DF"/>
    <w:rsid w:val="00821E33"/>
    <w:rsid w:val="00830E8F"/>
    <w:rsid w:val="008371B4"/>
    <w:rsid w:val="00851274"/>
    <w:rsid w:val="00875E36"/>
    <w:rsid w:val="00877049"/>
    <w:rsid w:val="008802E0"/>
    <w:rsid w:val="008C174E"/>
    <w:rsid w:val="008C3BA8"/>
    <w:rsid w:val="008D19B8"/>
    <w:rsid w:val="009030B6"/>
    <w:rsid w:val="0090644F"/>
    <w:rsid w:val="00907383"/>
    <w:rsid w:val="009256C1"/>
    <w:rsid w:val="00941A58"/>
    <w:rsid w:val="00955136"/>
    <w:rsid w:val="009A722F"/>
    <w:rsid w:val="009E3468"/>
    <w:rsid w:val="009F0CD1"/>
    <w:rsid w:val="00A069BD"/>
    <w:rsid w:val="00A55A7F"/>
    <w:rsid w:val="00A66378"/>
    <w:rsid w:val="00A97311"/>
    <w:rsid w:val="00AA3B38"/>
    <w:rsid w:val="00AD06AB"/>
    <w:rsid w:val="00AD56DE"/>
    <w:rsid w:val="00AD5F62"/>
    <w:rsid w:val="00AF1E4C"/>
    <w:rsid w:val="00AF38E3"/>
    <w:rsid w:val="00B03049"/>
    <w:rsid w:val="00B14990"/>
    <w:rsid w:val="00B40380"/>
    <w:rsid w:val="00B5607D"/>
    <w:rsid w:val="00B93ACF"/>
    <w:rsid w:val="00B94E5A"/>
    <w:rsid w:val="00BC4BC5"/>
    <w:rsid w:val="00BC5D69"/>
    <w:rsid w:val="00BD737C"/>
    <w:rsid w:val="00BE18BD"/>
    <w:rsid w:val="00C04132"/>
    <w:rsid w:val="00C04191"/>
    <w:rsid w:val="00C07BE4"/>
    <w:rsid w:val="00C16C4E"/>
    <w:rsid w:val="00C46321"/>
    <w:rsid w:val="00C54B05"/>
    <w:rsid w:val="00C73F25"/>
    <w:rsid w:val="00C86FE9"/>
    <w:rsid w:val="00CB323E"/>
    <w:rsid w:val="00CD4743"/>
    <w:rsid w:val="00CE07F3"/>
    <w:rsid w:val="00D212B5"/>
    <w:rsid w:val="00D22621"/>
    <w:rsid w:val="00D25CAA"/>
    <w:rsid w:val="00D96557"/>
    <w:rsid w:val="00DF31A4"/>
    <w:rsid w:val="00E04214"/>
    <w:rsid w:val="00E32ABB"/>
    <w:rsid w:val="00E52B74"/>
    <w:rsid w:val="00E53E66"/>
    <w:rsid w:val="00E56978"/>
    <w:rsid w:val="00E67766"/>
    <w:rsid w:val="00E70376"/>
    <w:rsid w:val="00E718DB"/>
    <w:rsid w:val="00E90D5E"/>
    <w:rsid w:val="00E96E13"/>
    <w:rsid w:val="00EA7CB2"/>
    <w:rsid w:val="00EB0209"/>
    <w:rsid w:val="00EB0322"/>
    <w:rsid w:val="00EB4F7D"/>
    <w:rsid w:val="00ED3D25"/>
    <w:rsid w:val="00ED5CD6"/>
    <w:rsid w:val="00EE1D80"/>
    <w:rsid w:val="00F03257"/>
    <w:rsid w:val="00F16DE0"/>
    <w:rsid w:val="00F358E5"/>
    <w:rsid w:val="00F613DF"/>
    <w:rsid w:val="00F622F5"/>
    <w:rsid w:val="00F74D90"/>
    <w:rsid w:val="00F804BB"/>
    <w:rsid w:val="00F83EF8"/>
    <w:rsid w:val="00F91027"/>
    <w:rsid w:val="00FB0A49"/>
    <w:rsid w:val="074C1404"/>
    <w:rsid w:val="1B399178"/>
    <w:rsid w:val="2685BCFD"/>
    <w:rsid w:val="32A5F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5"/>
    <w:next w:val="Normal"/>
    <w:link w:val="Heading3Char"/>
    <w:autoRedefine/>
    <w:uiPriority w:val="9"/>
    <w:unhideWhenUsed/>
    <w:qFormat/>
    <w:rsid w:val="00BC5D69"/>
    <w:pPr>
      <w:numPr>
        <w:ilvl w:val="2"/>
      </w:numPr>
      <w:outlineLvl w:val="2"/>
    </w:pPr>
    <w:rPr>
      <w:rFonts w:asciiTheme="majorHAnsi" w:hAnsiTheme="majorHAnsi" w:cstheme="majorHAnsi"/>
      <w:color w:val="4472C4" w:themeColor="accent1"/>
      <w:sz w:val="32"/>
      <w:szCs w:val="32"/>
    </w:rPr>
  </w:style>
  <w:style w:type="paragraph" w:styleId="Heading4">
    <w:name w:val="heading 4"/>
    <w:basedOn w:val="Normal"/>
    <w:next w:val="Normal"/>
    <w:link w:val="Heading4Char"/>
    <w:autoRedefine/>
    <w:uiPriority w:val="9"/>
    <w:unhideWhenUsed/>
    <w:qFormat/>
    <w:rsid w:val="00BC5D69"/>
    <w:pPr>
      <w:keepNext/>
      <w:keepLines/>
      <w:numPr>
        <w:ilvl w:val="3"/>
        <w:numId w:val="38"/>
      </w:numPr>
      <w:spacing w:before="200" w:after="0"/>
      <w:outlineLvl w:val="3"/>
    </w:pPr>
    <w:rPr>
      <w:rFonts w:ascii="Georgia" w:eastAsiaTheme="majorEastAsia" w:hAnsi="Georgia" w:cstheme="majorBidi"/>
      <w:b/>
      <w:iCs/>
      <w:color w:val="44546A" w:themeColor="text2"/>
      <w:sz w:val="28"/>
      <w:szCs w:val="24"/>
    </w:rPr>
  </w:style>
  <w:style w:type="paragraph" w:styleId="Heading5">
    <w:name w:val="heading 5"/>
    <w:basedOn w:val="Normal"/>
    <w:next w:val="Normal"/>
    <w:link w:val="Heading5Char"/>
    <w:autoRedefine/>
    <w:uiPriority w:val="9"/>
    <w:unhideWhenUsed/>
    <w:qFormat/>
    <w:rsid w:val="00BC5D69"/>
    <w:pPr>
      <w:keepNext/>
      <w:keepLines/>
      <w:numPr>
        <w:ilvl w:val="4"/>
        <w:numId w:val="38"/>
      </w:numPr>
      <w:spacing w:before="160" w:after="0"/>
      <w:outlineLvl w:val="4"/>
    </w:pPr>
    <w:rPr>
      <w:rFonts w:ascii="Georgia" w:eastAsiaTheme="majorEastAsia" w:hAnsi="Georgia" w:cstheme="majorBidi"/>
      <w:b/>
      <w:color w:val="8EAADB" w:themeColor="accent1" w:themeTint="99"/>
      <w:sz w:val="24"/>
      <w:szCs w:val="24"/>
    </w:rPr>
  </w:style>
  <w:style w:type="paragraph" w:styleId="Heading6">
    <w:name w:val="heading 6"/>
    <w:basedOn w:val="Normal"/>
    <w:next w:val="Normal"/>
    <w:link w:val="Heading6Char"/>
    <w:autoRedefine/>
    <w:uiPriority w:val="9"/>
    <w:unhideWhenUsed/>
    <w:qFormat/>
    <w:rsid w:val="00BC5D69"/>
    <w:pPr>
      <w:keepNext/>
      <w:keepLines/>
      <w:numPr>
        <w:ilvl w:val="5"/>
        <w:numId w:val="38"/>
      </w:numPr>
      <w:spacing w:before="120" w:after="0"/>
      <w:outlineLvl w:val="5"/>
    </w:pPr>
    <w:rPr>
      <w:rFonts w:ascii="Georgia" w:eastAsiaTheme="majorEastAsia" w:hAnsi="Georgia" w:cstheme="majorBidi"/>
      <w:b/>
      <w:bCs/>
      <w:color w:val="8496B0" w:themeColor="text2" w:themeTint="99"/>
    </w:rPr>
  </w:style>
  <w:style w:type="paragraph" w:styleId="Heading7">
    <w:name w:val="heading 7"/>
    <w:basedOn w:val="Normal"/>
    <w:next w:val="Normal"/>
    <w:link w:val="Heading7Char"/>
    <w:uiPriority w:val="9"/>
    <w:unhideWhenUsed/>
    <w:qFormat/>
    <w:rsid w:val="00BC5D69"/>
    <w:pPr>
      <w:keepNext/>
      <w:keepLines/>
      <w:numPr>
        <w:ilvl w:val="6"/>
        <w:numId w:val="3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C5D69"/>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5D69"/>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C0413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aliases w:val="Normal + indent,F5 List Paragraph,List Paragraph1,Dot pt,No Spacing1,List Paragraph Char Char Char,Indicator Text,Numbered Para 1,Bullet Points,MAIN CONTENT,List Paragraph12,Bullet Style,List Paragraph2"/>
    <w:basedOn w:val="Normal"/>
    <w:link w:val="ListParagraphChar"/>
    <w:uiPriority w:val="1"/>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27"/>
      </w:numPr>
      <w:spacing w:after="0" w:line="240" w:lineRule="auto"/>
      <w:ind w:right="-694"/>
      <w:jc w:val="both"/>
    </w:pPr>
    <w:rPr>
      <w:rFonts w:ascii="Arial" w:eastAsia="Times New Roman" w:hAnsi="Arial" w:cs="Arial"/>
      <w:b/>
      <w:u w:val="single"/>
      <w:lang w:eastAsia="en-GB"/>
    </w:rPr>
  </w:style>
  <w:style w:type="paragraph" w:styleId="BalloonText">
    <w:name w:val="Balloon Text"/>
    <w:basedOn w:val="Normal"/>
    <w:link w:val="BalloonTextChar"/>
    <w:uiPriority w:val="99"/>
    <w:semiHidden/>
    <w:unhideWhenUsed/>
    <w:rsid w:val="007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31D"/>
    <w:rPr>
      <w:rFonts w:ascii="Segoe UI" w:hAnsi="Segoe UI" w:cs="Segoe UI"/>
      <w:sz w:val="18"/>
      <w:szCs w:val="18"/>
    </w:rPr>
  </w:style>
  <w:style w:type="character" w:customStyle="1" w:styleId="ListParagraphChar">
    <w:name w:val="List Paragraph Char"/>
    <w:aliases w:val="Normal + indent Char,F5 List Paragraph Char,List Paragraph1 Char,Dot pt Char,No Spacing1 Char,List Paragraph Char Char Char Char,Indicator Text Char,Numbered Para 1 Char,Bullet Points Char,MAIN CONTENT Char,List Paragraph12 Char"/>
    <w:link w:val="ListParagraph"/>
    <w:uiPriority w:val="1"/>
    <w:qFormat/>
    <w:locked/>
    <w:rsid w:val="00B03049"/>
    <w:rPr>
      <w:rFonts w:ascii="Arial Nova Light" w:hAnsi="Arial Nova Light"/>
    </w:rPr>
  </w:style>
  <w:style w:type="character" w:customStyle="1" w:styleId="Heading3Char">
    <w:name w:val="Heading 3 Char"/>
    <w:basedOn w:val="DefaultParagraphFont"/>
    <w:link w:val="Heading3"/>
    <w:uiPriority w:val="9"/>
    <w:rsid w:val="00BC5D69"/>
    <w:rPr>
      <w:rFonts w:asciiTheme="majorHAnsi" w:eastAsiaTheme="majorEastAsia" w:hAnsiTheme="majorHAnsi" w:cstheme="majorHAnsi"/>
      <w:b/>
      <w:color w:val="4472C4" w:themeColor="accent1"/>
      <w:sz w:val="32"/>
      <w:szCs w:val="32"/>
    </w:rPr>
  </w:style>
  <w:style w:type="character" w:customStyle="1" w:styleId="Heading4Char">
    <w:name w:val="Heading 4 Char"/>
    <w:basedOn w:val="DefaultParagraphFont"/>
    <w:link w:val="Heading4"/>
    <w:uiPriority w:val="9"/>
    <w:rsid w:val="00BC5D69"/>
    <w:rPr>
      <w:rFonts w:ascii="Georgia" w:eastAsiaTheme="majorEastAsia" w:hAnsi="Georgia" w:cstheme="majorBidi"/>
      <w:b/>
      <w:iCs/>
      <w:color w:val="44546A" w:themeColor="text2"/>
      <w:sz w:val="28"/>
      <w:szCs w:val="24"/>
    </w:rPr>
  </w:style>
  <w:style w:type="character" w:customStyle="1" w:styleId="Heading5Char">
    <w:name w:val="Heading 5 Char"/>
    <w:basedOn w:val="DefaultParagraphFont"/>
    <w:link w:val="Heading5"/>
    <w:uiPriority w:val="9"/>
    <w:rsid w:val="00BC5D69"/>
    <w:rPr>
      <w:rFonts w:ascii="Georgia" w:eastAsiaTheme="majorEastAsia" w:hAnsi="Georgia" w:cstheme="majorBidi"/>
      <w:b/>
      <w:color w:val="8EAADB" w:themeColor="accent1" w:themeTint="99"/>
      <w:sz w:val="24"/>
      <w:szCs w:val="24"/>
    </w:rPr>
  </w:style>
  <w:style w:type="character" w:customStyle="1" w:styleId="Heading6Char">
    <w:name w:val="Heading 6 Char"/>
    <w:basedOn w:val="DefaultParagraphFont"/>
    <w:link w:val="Heading6"/>
    <w:uiPriority w:val="9"/>
    <w:rsid w:val="00BC5D69"/>
    <w:rPr>
      <w:rFonts w:ascii="Georgia" w:eastAsiaTheme="majorEastAsia" w:hAnsi="Georgia" w:cstheme="majorBidi"/>
      <w:b/>
      <w:bCs/>
      <w:color w:val="8496B0" w:themeColor="text2" w:themeTint="99"/>
    </w:rPr>
  </w:style>
  <w:style w:type="character" w:customStyle="1" w:styleId="Heading7Char">
    <w:name w:val="Heading 7 Char"/>
    <w:basedOn w:val="DefaultParagraphFont"/>
    <w:link w:val="Heading7"/>
    <w:uiPriority w:val="9"/>
    <w:rsid w:val="00BC5D6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C5D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5D6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B3E8-F696-40C1-86B4-21D06018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3192</Words>
  <Characters>16727</Characters>
  <Application>Microsoft Office Word</Application>
  <DocSecurity>0</DocSecurity>
  <Lines>380</Lines>
  <Paragraphs>223</Paragraphs>
  <ScaleCrop>false</ScaleCrop>
  <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21</cp:revision>
  <dcterms:created xsi:type="dcterms:W3CDTF">2021-02-08T11:51:00Z</dcterms:created>
  <dcterms:modified xsi:type="dcterms:W3CDTF">2021-03-17T14:12:00Z</dcterms:modified>
</cp:coreProperties>
</file>